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1EBD4B">
      <w:pPr>
        <w:pStyle w:val="86"/>
        <w:rPr>
          <w:b/>
          <w:bCs/>
        </w:rPr>
        <w:sectPr>
          <w:headerReference r:id="rId3" w:type="default"/>
          <w:footerReference r:id="rId5" w:type="default"/>
          <w:headerReference r:id="rId4" w:type="even"/>
          <w:footerReference r:id="rId6" w:type="even"/>
          <w:pgSz w:w="11907" w:h="16839"/>
          <w:pgMar w:top="567" w:right="851" w:bottom="1361" w:left="1418" w:header="0" w:footer="0" w:gutter="0"/>
          <w:pgNumType w:start="1"/>
          <w:cols w:space="425" w:num="1"/>
          <w:titlePg/>
          <w:docGrid w:type="lines" w:linePitch="312" w:charSpace="0"/>
        </w:sectPr>
      </w:pPr>
      <w:bookmarkStart w:id="0" w:name="SectionMark0"/>
      <w: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8890000</wp:posOffset>
                </wp:positionV>
                <wp:extent cx="6121400" cy="0"/>
                <wp:effectExtent l="0" t="0" r="0" b="0"/>
                <wp:wrapNone/>
                <wp:docPr id="73" name="Line 11"/>
                <wp:cNvGraphicFramePr/>
                <a:graphic xmlns:a="http://schemas.openxmlformats.org/drawingml/2006/main">
                  <a:graphicData uri="http://schemas.microsoft.com/office/word/2010/wordprocessingShape">
                    <wps:wsp>
                      <wps:cNvCnPr>
                        <a:cxnSpLocks noChangeShapeType="1"/>
                      </wps:cNvCnPr>
                      <wps:spPr bwMode="auto">
                        <a:xfrm>
                          <a:off x="0" y="0"/>
                          <a:ext cx="6121400" cy="0"/>
                        </a:xfrm>
                        <a:prstGeom prst="line">
                          <a:avLst/>
                        </a:prstGeom>
                        <a:noFill/>
                        <a:ln w="12700">
                          <a:solidFill>
                            <a:srgbClr val="080000"/>
                          </a:solidFill>
                          <a:round/>
                        </a:ln>
                        <a:effectLst/>
                      </wps:spPr>
                      <wps:bodyPr/>
                    </wps:wsp>
                  </a:graphicData>
                </a:graphic>
              </wp:anchor>
            </w:drawing>
          </mc:Choice>
          <mc:Fallback>
            <w:pict>
              <v:line id="Line 11" o:spid="_x0000_s1026" o:spt="20" style="position:absolute;left:0pt;margin-left:0pt;margin-top:700pt;height:0pt;width:482pt;z-index:251666432;mso-width-relative:page;mso-height-relative:page;" filled="f" stroked="t" coordsize="21600,21600" o:gfxdata="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&#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69IlP1QAAAAoBAAAPAAAAAAAAAAEAIAAAACIAAABk&#10;cnMvZG93bnJldi54bWxQSwECFAAUAAAACACHTuJATtX8LdABAACwAwAADgAAAAAAAAABACAAAAAk&#10;AQAAZHJzL2Uyb0RvYy54bWxQSwUGAAAAAAYABgBZAQAAZgUAAAAA&#10;">
                <v:fill on="f" focussize="0,0"/>
                <v:stroke weight="1pt" color="#080000" joinstyle="round"/>
                <v:imagedata o:title=""/>
                <o:lock v:ext="edit" aspectratio="f"/>
              </v:lin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2273300</wp:posOffset>
                </wp:positionV>
                <wp:extent cx="6121400" cy="0"/>
                <wp:effectExtent l="0" t="0" r="0" b="0"/>
                <wp:wrapNone/>
                <wp:docPr id="39" name="Line 10"/>
                <wp:cNvGraphicFramePr/>
                <a:graphic xmlns:a="http://schemas.openxmlformats.org/drawingml/2006/main">
                  <a:graphicData uri="http://schemas.microsoft.com/office/word/2010/wordprocessingShape">
                    <wps:wsp>
                      <wps:cNvCnPr>
                        <a:cxnSpLocks noChangeShapeType="1"/>
                      </wps:cNvCnPr>
                      <wps:spPr bwMode="auto">
                        <a:xfrm>
                          <a:off x="0" y="0"/>
                          <a:ext cx="6121400" cy="0"/>
                        </a:xfrm>
                        <a:prstGeom prst="line">
                          <a:avLst/>
                        </a:prstGeom>
                        <a:noFill/>
                        <a:ln w="12700">
                          <a:solidFill>
                            <a:srgbClr val="080000"/>
                          </a:solidFill>
                          <a:round/>
                        </a:ln>
                        <a:effectLst/>
                      </wps:spPr>
                      <wps:bodyPr/>
                    </wps:wsp>
                  </a:graphicData>
                </a:graphic>
              </wp:anchor>
            </w:drawing>
          </mc:Choice>
          <mc:Fallback>
            <w:pict>
              <v:line id="Line 10" o:spid="_x0000_s1026" o:spt="20" style="position:absolute;left:0pt;margin-left:0pt;margin-top:179pt;height:0pt;width:482pt;z-index:251665408;mso-width-relative:page;mso-height-relative:page;" filled="f" stroked="t" coordsize="21600,21600" o:gfxdata="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NO54MdYAAAAIAQAADwAAAAAAAAABACAAAAAiAAAA&#10;ZHJzL2Rvd25yZXYueG1sUEsBAhQAFAAAAAgAh07iQKrwqD7QAQAAsAMAAA4AAAAAAAAAAQAgAAAA&#10;JQEAAGRycy9lMm9Eb2MueG1sUEsFBgAAAAAGAAYAWQEAAGcFAAAAAA==&#10;">
                <v:fill on="f" focussize="0,0"/>
                <v:stroke weight="1pt" color="#080000" joinstyle="round"/>
                <v:imagedata o:title=""/>
                <o:lock v:ext="edit" aspectratio="f"/>
              </v:line>
            </w:pict>
          </mc:Fallback>
        </mc:AlternateContent>
      </w:r>
      <w:r>
        <mc:AlternateContent>
          <mc:Choice Requires="wps">
            <w:drawing>
              <wp:anchor distT="0" distB="0" distL="114300" distR="114300" simplePos="0" relativeHeight="251664384" behindDoc="0" locked="1" layoutInCell="1" allowOverlap="1">
                <wp:simplePos x="0" y="0"/>
                <wp:positionH relativeFrom="margin">
                  <wp:posOffset>0</wp:posOffset>
                </wp:positionH>
                <wp:positionV relativeFrom="margin">
                  <wp:posOffset>9108440</wp:posOffset>
                </wp:positionV>
                <wp:extent cx="6120130" cy="363220"/>
                <wp:effectExtent l="0" t="0" r="13970" b="17780"/>
                <wp:wrapNone/>
                <wp:docPr id="38" name="fmFrame7"/>
                <wp:cNvGraphicFramePr/>
                <a:graphic xmlns:a="http://schemas.openxmlformats.org/drawingml/2006/main">
                  <a:graphicData uri="http://schemas.microsoft.com/office/word/2010/wordprocessingShape">
                    <wps:wsp>
                      <wps:cNvSpPr txBox="1">
                        <a:spLocks noChangeArrowheads="1"/>
                      </wps:cNvSpPr>
                      <wps:spPr bwMode="auto">
                        <a:xfrm>
                          <a:off x="0" y="0"/>
                          <a:ext cx="6120130" cy="363220"/>
                        </a:xfrm>
                        <a:prstGeom prst="rect">
                          <a:avLst/>
                        </a:prstGeom>
                        <a:solidFill>
                          <a:srgbClr val="FFFFFF"/>
                        </a:solidFill>
                        <a:ln>
                          <a:noFill/>
                        </a:ln>
                        <a:effectLst/>
                      </wps:spPr>
                      <wps:txbx>
                        <w:txbxContent>
                          <w:p w14:paraId="5A9862AD">
                            <w:pPr>
                              <w:pStyle w:val="76"/>
                              <w:rPr>
                                <w:rFonts w:cs="Times New Roman"/>
                              </w:rPr>
                            </w:pPr>
                            <w:r>
                              <w:rPr>
                                <w:rFonts w:hint="eastAsia" w:ascii="黑体" w:eastAsia="黑体" w:cs="黑体"/>
                                <w:w w:val="100"/>
                                <w:sz w:val="32"/>
                                <w:szCs w:val="32"/>
                              </w:rPr>
                              <w:t>中华人民共和国住房和城乡建设部</w:t>
                            </w:r>
                            <w:r>
                              <w:rPr>
                                <w:rStyle w:val="75"/>
                                <w:rFonts w:cs="黑体"/>
                                <w:szCs w:val="28"/>
                              </w:rPr>
                              <w:t xml:space="preserve"> </w:t>
                            </w:r>
                            <w:r>
                              <w:rPr>
                                <w:rStyle w:val="75"/>
                                <w:rFonts w:hint="eastAsia" w:cs="黑体"/>
                                <w:szCs w:val="28"/>
                              </w:rPr>
                              <w:t>发布</w:t>
                            </w:r>
                          </w:p>
                        </w:txbxContent>
                      </wps:txbx>
                      <wps:bodyPr rot="0" vert="horz" wrap="square" lIns="0" tIns="0" rIns="0" bIns="0" anchor="t" anchorCtr="0" upright="1">
                        <a:noAutofit/>
                      </wps:bodyPr>
                    </wps:wsp>
                  </a:graphicData>
                </a:graphic>
              </wp:anchor>
            </w:drawing>
          </mc:Choice>
          <mc:Fallback>
            <w:pict>
              <v:shape id="fmFrame7" o:spid="_x0000_s1026" o:spt="202" type="#_x0000_t202" style="position:absolute;left:0pt;margin-left:0pt;margin-top:717.2pt;height:28.6pt;width:481.9pt;mso-position-horizontal-relative:margin;mso-position-vertical-relative:margin;z-index:251664384;mso-width-relative:page;mso-height-relative:page;" fillcolor="#FFFFFF" filled="t" stroked="f" coordsize="21600,21600" o:gfxdata="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VYG69gAAAAKAQAADwAAAAAA&#10;AAABACAAAAAiAAAAZHJzL2Rvd25yZXYueG1sUEsBAhQAFAAAAAgAh07iQAUnJsYTAgAAOgQAAA4A&#10;AAAAAAAAAQAgAAAAJwEAAGRycy9lMm9Eb2MueG1sUEsFBgAAAAAGAAYAWQEAAKwFAAAAAA==&#10;">
                <v:fill on="t" focussize="0,0"/>
                <v:stroke on="f"/>
                <v:imagedata o:title=""/>
                <o:lock v:ext="edit" aspectratio="f"/>
                <v:textbox inset="0mm,0mm,0mm,0mm">
                  <w:txbxContent>
                    <w:p w14:paraId="5A9862AD">
                      <w:pPr>
                        <w:pStyle w:val="76"/>
                        <w:rPr>
                          <w:rFonts w:cs="Times New Roman"/>
                        </w:rPr>
                      </w:pPr>
                      <w:r>
                        <w:rPr>
                          <w:rFonts w:hint="eastAsia" w:ascii="黑体" w:eastAsia="黑体" w:cs="黑体"/>
                          <w:w w:val="100"/>
                          <w:sz w:val="32"/>
                          <w:szCs w:val="32"/>
                        </w:rPr>
                        <w:t>中华人民共和国住房和城乡建设部</w:t>
                      </w:r>
                      <w:r>
                        <w:rPr>
                          <w:rStyle w:val="75"/>
                          <w:rFonts w:cs="黑体"/>
                          <w:szCs w:val="28"/>
                        </w:rPr>
                        <w:t xml:space="preserve"> </w:t>
                      </w:r>
                      <w:r>
                        <w:rPr>
                          <w:rStyle w:val="75"/>
                          <w:rFonts w:hint="eastAsia" w:cs="黑体"/>
                          <w:szCs w:val="28"/>
                        </w:rPr>
                        <w:t>发布</w:t>
                      </w:r>
                    </w:p>
                  </w:txbxContent>
                </v:textbox>
                <w10:anchorlock/>
              </v:shape>
            </w:pict>
          </mc:Fallback>
        </mc:AlternateContent>
      </w:r>
      <w:r>
        <mc:AlternateContent>
          <mc:Choice Requires="wps">
            <w:drawing>
              <wp:anchor distT="0" distB="0" distL="114300" distR="114300" simplePos="0" relativeHeight="251663360" behindDoc="0" locked="1" layoutInCell="1" allowOverlap="1">
                <wp:simplePos x="0" y="0"/>
                <wp:positionH relativeFrom="margin">
                  <wp:posOffset>4100830</wp:posOffset>
                </wp:positionH>
                <wp:positionV relativeFrom="margin">
                  <wp:posOffset>8563610</wp:posOffset>
                </wp:positionV>
                <wp:extent cx="2019300" cy="312420"/>
                <wp:effectExtent l="0" t="0" r="0" b="11430"/>
                <wp:wrapNone/>
                <wp:docPr id="37" name="fmFrame6"/>
                <wp:cNvGraphicFramePr/>
                <a:graphic xmlns:a="http://schemas.openxmlformats.org/drawingml/2006/main">
                  <a:graphicData uri="http://schemas.microsoft.com/office/word/2010/wordprocessingShape">
                    <wps:wsp>
                      <wps:cNvSpPr txBox="1">
                        <a:spLocks noChangeArrowheads="1"/>
                      </wps:cNvSpPr>
                      <wps:spPr bwMode="auto">
                        <a:xfrm>
                          <a:off x="0" y="0"/>
                          <a:ext cx="2019300" cy="312420"/>
                        </a:xfrm>
                        <a:prstGeom prst="rect">
                          <a:avLst/>
                        </a:prstGeom>
                        <a:solidFill>
                          <a:srgbClr val="FFFFFF"/>
                        </a:solidFill>
                        <a:ln>
                          <a:noFill/>
                        </a:ln>
                        <a:effectLst/>
                      </wps:spPr>
                      <wps:txbx>
                        <w:txbxContent>
                          <w:p w14:paraId="7C467316">
                            <w:pPr>
                              <w:pStyle w:val="106"/>
                              <w:numPr>
                                <w:ilvl w:val="0"/>
                                <w:numId w:val="0"/>
                              </w:numPr>
                              <w:jc w:val="both"/>
                              <w:rPr>
                                <w:rFonts w:ascii="黑体"/>
                              </w:rPr>
                            </w:pPr>
                            <w:r>
                              <w:rPr>
                                <w:rFonts w:hint="eastAsia" w:ascii="黑体" w:cs="黑体"/>
                              </w:rPr>
                              <w:t>××××</w:t>
                            </w:r>
                            <w:r>
                              <w:rPr>
                                <w:rFonts w:ascii="黑体" w:cs="黑体"/>
                              </w:rPr>
                              <w:t>-</w:t>
                            </w:r>
                            <w:r>
                              <w:rPr>
                                <w:rFonts w:hint="eastAsia" w:ascii="黑体" w:cs="黑体"/>
                              </w:rPr>
                              <w:t>××</w:t>
                            </w:r>
                            <w:r>
                              <w:rPr>
                                <w:rFonts w:ascii="黑体" w:cs="黑体"/>
                              </w:rPr>
                              <w:t>-</w:t>
                            </w:r>
                            <w:r>
                              <w:rPr>
                                <w:rFonts w:hint="eastAsia" w:ascii="黑体" w:cs="黑体"/>
                              </w:rPr>
                              <w:t>××实施</w:t>
                            </w:r>
                          </w:p>
                        </w:txbxContent>
                      </wps:txbx>
                      <wps:bodyPr rot="0" vert="horz" wrap="square" lIns="0" tIns="0" rIns="0" bIns="0" anchor="t" anchorCtr="0" upright="1">
                        <a:noAutofit/>
                      </wps:bodyPr>
                    </wps:wsp>
                  </a:graphicData>
                </a:graphic>
              </wp:anchor>
            </w:drawing>
          </mc:Choice>
          <mc:Fallback>
            <w:pict>
              <v:shape id="fmFrame6" o:spid="_x0000_s1026" o:spt="202" type="#_x0000_t202" style="position:absolute;left:0pt;margin-left:322.9pt;margin-top:674.3pt;height:24.6pt;width:159pt;mso-position-horizontal-relative:margin;mso-position-vertical-relative:margin;z-index:251663360;mso-width-relative:page;mso-height-relative:page;" fillcolor="#FFFFFF" filled="t" stroked="f" coordsize="21600,21600" o:gfxdata="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v2q19oAAAANAQAADwAA&#10;AAAAAAABACAAAAAiAAAAZHJzL2Rvd25yZXYueG1sUEsBAhQAFAAAAAgAh07iQLNi6NkUAgAAOgQA&#10;AA4AAAAAAAAAAQAgAAAAKQEAAGRycy9lMm9Eb2MueG1sUEsFBgAAAAAGAAYAWQEAAK8FAAAAAA==&#10;">
                <v:fill on="t" focussize="0,0"/>
                <v:stroke on="f"/>
                <v:imagedata o:title=""/>
                <o:lock v:ext="edit" aspectratio="f"/>
                <v:textbox inset="0mm,0mm,0mm,0mm">
                  <w:txbxContent>
                    <w:p w14:paraId="7C467316">
                      <w:pPr>
                        <w:pStyle w:val="106"/>
                        <w:numPr>
                          <w:ilvl w:val="0"/>
                          <w:numId w:val="0"/>
                        </w:numPr>
                        <w:jc w:val="both"/>
                        <w:rPr>
                          <w:rFonts w:ascii="黑体"/>
                        </w:rPr>
                      </w:pPr>
                      <w:r>
                        <w:rPr>
                          <w:rFonts w:hint="eastAsia" w:ascii="黑体" w:cs="黑体"/>
                        </w:rPr>
                        <w:t>××××</w:t>
                      </w:r>
                      <w:r>
                        <w:rPr>
                          <w:rFonts w:ascii="黑体" w:cs="黑体"/>
                        </w:rPr>
                        <w:t>-</w:t>
                      </w:r>
                      <w:r>
                        <w:rPr>
                          <w:rFonts w:hint="eastAsia" w:ascii="黑体" w:cs="黑体"/>
                        </w:rPr>
                        <w:t>××</w:t>
                      </w:r>
                      <w:r>
                        <w:rPr>
                          <w:rFonts w:ascii="黑体" w:cs="黑体"/>
                        </w:rPr>
                        <w:t>-</w:t>
                      </w:r>
                      <w:r>
                        <w:rPr>
                          <w:rFonts w:hint="eastAsia" w:ascii="黑体" w:cs="黑体"/>
                        </w:rPr>
                        <w:t>××实施</w:t>
                      </w:r>
                    </w:p>
                  </w:txbxContent>
                </v:textbox>
                <w10:anchorlock/>
              </v:shape>
            </w:pict>
          </mc:Fallback>
        </mc:AlternateContent>
      </w:r>
      <w:r>
        <mc:AlternateContent>
          <mc:Choice Requires="wps">
            <w:drawing>
              <wp:anchor distT="0" distB="0" distL="114300" distR="114300" simplePos="0" relativeHeight="251663360" behindDoc="0" locked="1" layoutInCell="1" allowOverlap="1">
                <wp:simplePos x="0" y="0"/>
                <wp:positionH relativeFrom="margin">
                  <wp:posOffset>0</wp:posOffset>
                </wp:positionH>
                <wp:positionV relativeFrom="margin">
                  <wp:posOffset>8563610</wp:posOffset>
                </wp:positionV>
                <wp:extent cx="2019300" cy="312420"/>
                <wp:effectExtent l="0" t="0" r="0" b="11430"/>
                <wp:wrapNone/>
                <wp:docPr id="36" name="fmFrame5"/>
                <wp:cNvGraphicFramePr/>
                <a:graphic xmlns:a="http://schemas.openxmlformats.org/drawingml/2006/main">
                  <a:graphicData uri="http://schemas.microsoft.com/office/word/2010/wordprocessingShape">
                    <wps:wsp>
                      <wps:cNvSpPr txBox="1">
                        <a:spLocks noChangeArrowheads="1"/>
                      </wps:cNvSpPr>
                      <wps:spPr bwMode="auto">
                        <a:xfrm>
                          <a:off x="0" y="0"/>
                          <a:ext cx="2019300" cy="312420"/>
                        </a:xfrm>
                        <a:prstGeom prst="rect">
                          <a:avLst/>
                        </a:prstGeom>
                        <a:solidFill>
                          <a:srgbClr val="FFFFFF"/>
                        </a:solidFill>
                        <a:ln>
                          <a:noFill/>
                        </a:ln>
                        <a:effectLst/>
                      </wps:spPr>
                      <wps:txbx>
                        <w:txbxContent>
                          <w:p w14:paraId="3C688EF7">
                            <w:pPr>
                              <w:pStyle w:val="77"/>
                              <w:rPr>
                                <w:rFonts w:ascii="黑体"/>
                              </w:rPr>
                            </w:pPr>
                            <w:r>
                              <w:rPr>
                                <w:rFonts w:hint="eastAsia" w:ascii="黑体" w:cs="黑体"/>
                              </w:rPr>
                              <w:t>××××</w:t>
                            </w:r>
                            <w:r>
                              <w:rPr>
                                <w:rFonts w:ascii="黑体" w:cs="黑体"/>
                              </w:rPr>
                              <w:t>-</w:t>
                            </w:r>
                            <w:r>
                              <w:rPr>
                                <w:rFonts w:hint="eastAsia" w:ascii="黑体" w:cs="黑体"/>
                              </w:rPr>
                              <w:t>××</w:t>
                            </w:r>
                            <w:r>
                              <w:rPr>
                                <w:rFonts w:ascii="黑体" w:cs="黑体"/>
                              </w:rPr>
                              <w:t>-</w:t>
                            </w:r>
                            <w:r>
                              <w:rPr>
                                <w:rFonts w:hint="eastAsia" w:ascii="黑体" w:cs="黑体"/>
                              </w:rPr>
                              <w:t>××发布</w:t>
                            </w:r>
                          </w:p>
                        </w:txbxContent>
                      </wps:txbx>
                      <wps:bodyPr rot="0" vert="horz" wrap="square" lIns="0" tIns="0" rIns="0" bIns="0" anchor="t" anchorCtr="0" upright="1">
                        <a:noAutofit/>
                      </wps:bodyPr>
                    </wps:wsp>
                  </a:graphicData>
                </a:graphic>
              </wp:anchor>
            </w:drawing>
          </mc:Choice>
          <mc:Fallback>
            <w:pict>
              <v:shape id="fmFrame5" o:spid="_x0000_s1026" o:spt="202" type="#_x0000_t202" style="position:absolute;left:0pt;margin-left:0pt;margin-top:674.3pt;height:24.6pt;width:159pt;mso-position-horizontal-relative:margin;mso-position-vertical-relative:margin;z-index:251663360;mso-width-relative:page;mso-height-relative:page;" fillcolor="#FFFFFF" filled="t" stroked="f" coordsize="21600,21600" o:gfxdata="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82yojYAAAACgEAAA8AAAAA&#10;AAAAAQAgAAAAIgAAAGRycy9kb3ducmV2LnhtbFBLAQIUABQAAAAIAIdO4kAaRsN5FAIAADoEAAAO&#10;AAAAAAAAAAEAIAAAACcBAABkcnMvZTJvRG9jLnhtbFBLBQYAAAAABgAGAFkBAACtBQAAAAA=&#10;">
                <v:fill on="t" focussize="0,0"/>
                <v:stroke on="f"/>
                <v:imagedata o:title=""/>
                <o:lock v:ext="edit" aspectratio="f"/>
                <v:textbox inset="0mm,0mm,0mm,0mm">
                  <w:txbxContent>
                    <w:p w14:paraId="3C688EF7">
                      <w:pPr>
                        <w:pStyle w:val="77"/>
                        <w:rPr>
                          <w:rFonts w:ascii="黑体"/>
                        </w:rPr>
                      </w:pPr>
                      <w:r>
                        <w:rPr>
                          <w:rFonts w:hint="eastAsia" w:ascii="黑体" w:cs="黑体"/>
                        </w:rPr>
                        <w:t>××××</w:t>
                      </w:r>
                      <w:r>
                        <w:rPr>
                          <w:rFonts w:ascii="黑体" w:cs="黑体"/>
                        </w:rPr>
                        <w:t>-</w:t>
                      </w:r>
                      <w:r>
                        <w:rPr>
                          <w:rFonts w:hint="eastAsia" w:ascii="黑体" w:cs="黑体"/>
                        </w:rPr>
                        <w:t>××</w:t>
                      </w:r>
                      <w:r>
                        <w:rPr>
                          <w:rFonts w:ascii="黑体" w:cs="黑体"/>
                        </w:rPr>
                        <w:t>-</w:t>
                      </w:r>
                      <w:r>
                        <w:rPr>
                          <w:rFonts w:hint="eastAsia" w:ascii="黑体" w:cs="黑体"/>
                        </w:rPr>
                        <w:t>××发布</w:t>
                      </w:r>
                    </w:p>
                  </w:txbxContent>
                </v:textbox>
                <w10:anchorlock/>
              </v:shape>
            </w:pict>
          </mc:Fallback>
        </mc:AlternateContent>
      </w:r>
      <w:bookmarkStart w:id="10" w:name="_GoBack"/>
      <w:bookmarkEnd w:id="10"/>
      <w:r>
        <mc:AlternateContent>
          <mc:Choice Requires="wps">
            <w:drawing>
              <wp:anchor distT="0" distB="0" distL="114300" distR="114300" simplePos="0" relativeHeight="251662336" behindDoc="0" locked="1" layoutInCell="1" allowOverlap="1">
                <wp:simplePos x="0" y="0"/>
                <wp:positionH relativeFrom="margin">
                  <wp:align>left</wp:align>
                </wp:positionH>
                <wp:positionV relativeFrom="margin">
                  <wp:posOffset>3641090</wp:posOffset>
                </wp:positionV>
                <wp:extent cx="5969000" cy="4315460"/>
                <wp:effectExtent l="0" t="0" r="12700" b="8890"/>
                <wp:wrapNone/>
                <wp:docPr id="35" name="fmFrame4"/>
                <wp:cNvGraphicFramePr/>
                <a:graphic xmlns:a="http://schemas.openxmlformats.org/drawingml/2006/main">
                  <a:graphicData uri="http://schemas.microsoft.com/office/word/2010/wordprocessingShape">
                    <wps:wsp>
                      <wps:cNvSpPr txBox="1">
                        <a:spLocks noChangeArrowheads="1"/>
                      </wps:cNvSpPr>
                      <wps:spPr bwMode="auto">
                        <a:xfrm>
                          <a:off x="0" y="0"/>
                          <a:ext cx="5969000" cy="4315460"/>
                        </a:xfrm>
                        <a:prstGeom prst="rect">
                          <a:avLst/>
                        </a:prstGeom>
                        <a:solidFill>
                          <a:srgbClr val="FFFFFF"/>
                        </a:solidFill>
                        <a:ln>
                          <a:noFill/>
                        </a:ln>
                        <a:effectLst/>
                      </wps:spPr>
                      <wps:txbx>
                        <w:txbxContent>
                          <w:p w14:paraId="74D8CFC0">
                            <w:pPr>
                              <w:pStyle w:val="81"/>
                              <w:rPr>
                                <w:rFonts w:cs="Times New Roman"/>
                              </w:rPr>
                            </w:pPr>
                            <w:r>
                              <w:rPr>
                                <w:rFonts w:hint="eastAsia"/>
                              </w:rPr>
                              <w:t>建筑隔震橡胶支座</w:t>
                            </w:r>
                          </w:p>
                          <w:p w14:paraId="3CA6EE17">
                            <w:pPr>
                              <w:pStyle w:val="84"/>
                            </w:pPr>
                            <w:r>
                              <w:t>Rubber isolation bearings for buildings</w:t>
                            </w:r>
                          </w:p>
                          <w:p w14:paraId="6B08AD36">
                            <w:pPr>
                              <w:pStyle w:val="85"/>
                              <w:numPr>
                                <w:ins w:id="0" w:author="czz" w:date="2016-02-25T09:02:00Z"/>
                              </w:numPr>
                              <w:rPr>
                                <w:rFonts w:cs="Times New Roman"/>
                              </w:rPr>
                            </w:pPr>
                          </w:p>
                          <w:p w14:paraId="46E9EE0C">
                            <w:pPr>
                              <w:pStyle w:val="83"/>
                              <w:rPr>
                                <w:rFonts w:hint="eastAsia" w:ascii="黑体" w:hAnsi="黑体" w:eastAsia="黑体" w:cs="Times New Roman"/>
                                <w:sz w:val="32"/>
                                <w:szCs w:val="32"/>
                              </w:rPr>
                            </w:pPr>
                            <w:r>
                              <w:rPr>
                                <w:rFonts w:hint="eastAsia" w:ascii="黑体" w:hAnsi="黑体" w:eastAsia="黑体"/>
                                <w:sz w:val="32"/>
                                <w:szCs w:val="32"/>
                              </w:rPr>
                              <w:t>（</w:t>
                            </w:r>
                            <w:r>
                              <w:rPr>
                                <w:rFonts w:hint="eastAsia" w:ascii="黑体" w:hAnsi="黑体" w:eastAsia="黑体"/>
                                <w:sz w:val="32"/>
                                <w:szCs w:val="32"/>
                                <w:lang w:val="en-US" w:eastAsia="zh-CN"/>
                              </w:rPr>
                              <w:t>修订</w:t>
                            </w:r>
                            <w:r>
                              <w:rPr>
                                <w:rFonts w:hint="eastAsia" w:ascii="黑体" w:hAnsi="黑体" w:eastAsia="黑体"/>
                                <w:sz w:val="32"/>
                                <w:szCs w:val="32"/>
                              </w:rPr>
                              <w:t>征求意见稿）</w:t>
                            </w:r>
                          </w:p>
                          <w:p w14:paraId="175E1EE6">
                            <w:pPr>
                              <w:pStyle w:val="82"/>
                              <w:rPr>
                                <w:rFonts w:cs="Times New Roman"/>
                              </w:rPr>
                            </w:pPr>
                          </w:p>
                        </w:txbxContent>
                      </wps:txbx>
                      <wps:bodyPr rot="0" vert="horz" wrap="square" lIns="0" tIns="0" rIns="0" bIns="0" anchor="t" anchorCtr="0" upright="1">
                        <a:noAutofit/>
                      </wps:bodyPr>
                    </wps:wsp>
                  </a:graphicData>
                </a:graphic>
              </wp:anchor>
            </w:drawing>
          </mc:Choice>
          <mc:Fallback>
            <w:pict>
              <v:shape id="fmFrame4" o:spid="_x0000_s1026" o:spt="202" type="#_x0000_t202" style="position:absolute;left:0pt;margin-top:286.7pt;height:339.8pt;width:470pt;mso-position-horizontal:left;mso-position-horizontal-relative:margin;mso-position-vertical-relative:margin;z-index:251662336;mso-width-relative:page;mso-height-relative:page;" fillcolor="#FFFFFF" filled="t" stroked="f" coordsize="21600,21600" o:gfxdata="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9pvjXYAAAACQEAAA8A&#10;AAAAAAAAAQAgAAAAIgAAAGRycy9kb3ducmV2LnhtbFBLAQIUABQAAAAIAIdO4kDo8FRhFwIAADsE&#10;AAAOAAAAAAAAAAEAIAAAACcBAABkcnMvZTJvRG9jLnhtbFBLBQYAAAAABgAGAFkBAACwBQAAAAA=&#10;">
                <v:fill on="t" focussize="0,0"/>
                <v:stroke on="f"/>
                <v:imagedata o:title=""/>
                <o:lock v:ext="edit" aspectratio="f"/>
                <v:textbox inset="0mm,0mm,0mm,0mm">
                  <w:txbxContent>
                    <w:p w14:paraId="74D8CFC0">
                      <w:pPr>
                        <w:pStyle w:val="81"/>
                        <w:rPr>
                          <w:rFonts w:cs="Times New Roman"/>
                        </w:rPr>
                      </w:pPr>
                      <w:r>
                        <w:rPr>
                          <w:rFonts w:hint="eastAsia"/>
                        </w:rPr>
                        <w:t>建筑隔震橡胶支座</w:t>
                      </w:r>
                    </w:p>
                    <w:p w14:paraId="3CA6EE17">
                      <w:pPr>
                        <w:pStyle w:val="84"/>
                      </w:pPr>
                      <w:r>
                        <w:t>Rubber isolation bearings for buildings</w:t>
                      </w:r>
                    </w:p>
                    <w:p w14:paraId="6B08AD36">
                      <w:pPr>
                        <w:pStyle w:val="85"/>
                        <w:numPr>
                          <w:ins w:id="1" w:author="czz" w:date="2016-02-25T09:02:00Z"/>
                        </w:numPr>
                        <w:rPr>
                          <w:rFonts w:cs="Times New Roman"/>
                        </w:rPr>
                      </w:pPr>
                    </w:p>
                    <w:p w14:paraId="46E9EE0C">
                      <w:pPr>
                        <w:pStyle w:val="83"/>
                        <w:rPr>
                          <w:rFonts w:hint="eastAsia" w:ascii="黑体" w:hAnsi="黑体" w:eastAsia="黑体" w:cs="Times New Roman"/>
                          <w:sz w:val="32"/>
                          <w:szCs w:val="32"/>
                        </w:rPr>
                      </w:pPr>
                      <w:r>
                        <w:rPr>
                          <w:rFonts w:hint="eastAsia" w:ascii="黑体" w:hAnsi="黑体" w:eastAsia="黑体"/>
                          <w:sz w:val="32"/>
                          <w:szCs w:val="32"/>
                        </w:rPr>
                        <w:t>（</w:t>
                      </w:r>
                      <w:r>
                        <w:rPr>
                          <w:rFonts w:hint="eastAsia" w:ascii="黑体" w:hAnsi="黑体" w:eastAsia="黑体"/>
                          <w:sz w:val="32"/>
                          <w:szCs w:val="32"/>
                          <w:lang w:val="en-US" w:eastAsia="zh-CN"/>
                        </w:rPr>
                        <w:t>修订</w:t>
                      </w:r>
                      <w:r>
                        <w:rPr>
                          <w:rFonts w:hint="eastAsia" w:ascii="黑体" w:hAnsi="黑体" w:eastAsia="黑体"/>
                          <w:sz w:val="32"/>
                          <w:szCs w:val="32"/>
                        </w:rPr>
                        <w:t>征求意见稿）</w:t>
                      </w:r>
                    </w:p>
                    <w:p w14:paraId="175E1EE6">
                      <w:pPr>
                        <w:pStyle w:val="82"/>
                        <w:rPr>
                          <w:rFonts w:cs="Times New Roman"/>
                        </w:rPr>
                      </w:pPr>
                    </w:p>
                  </w:txbxContent>
                </v:textbox>
                <w10:anchorlock/>
              </v:shape>
            </w:pict>
          </mc:Fallback>
        </mc:AlternateContent>
      </w:r>
      <w:r>
        <mc:AlternateContent>
          <mc:Choice Requires="wps">
            <w:drawing>
              <wp:anchor distT="0" distB="0" distL="114300" distR="114300" simplePos="0" relativeHeight="251661312" behindDoc="0" locked="1" layoutInCell="1" allowOverlap="1">
                <wp:simplePos x="0" y="0"/>
                <wp:positionH relativeFrom="margin">
                  <wp:align>left</wp:align>
                </wp:positionH>
                <wp:positionV relativeFrom="margin">
                  <wp:posOffset>1527175</wp:posOffset>
                </wp:positionV>
                <wp:extent cx="5802630" cy="735965"/>
                <wp:effectExtent l="0" t="0" r="7620" b="6985"/>
                <wp:wrapNone/>
                <wp:docPr id="34" name="fmFrame3"/>
                <wp:cNvGraphicFramePr/>
                <a:graphic xmlns:a="http://schemas.openxmlformats.org/drawingml/2006/main">
                  <a:graphicData uri="http://schemas.microsoft.com/office/word/2010/wordprocessingShape">
                    <wps:wsp>
                      <wps:cNvSpPr txBox="1">
                        <a:spLocks noChangeArrowheads="1"/>
                      </wps:cNvSpPr>
                      <wps:spPr bwMode="auto">
                        <a:xfrm>
                          <a:off x="0" y="0"/>
                          <a:ext cx="5802630" cy="735965"/>
                        </a:xfrm>
                        <a:prstGeom prst="rect">
                          <a:avLst/>
                        </a:prstGeom>
                        <a:solidFill>
                          <a:srgbClr val="FFFFFF"/>
                        </a:solidFill>
                        <a:ln>
                          <a:noFill/>
                        </a:ln>
                        <a:effectLst/>
                      </wps:spPr>
                      <wps:txbx>
                        <w:txbxContent>
                          <w:p w14:paraId="347E3BFB">
                            <w:pPr>
                              <w:pStyle w:val="79"/>
                              <w:rPr>
                                <w:lang w:val="de-DE"/>
                              </w:rPr>
                            </w:pPr>
                            <w:r>
                              <w:rPr>
                                <w:lang w:val="de-DE"/>
                              </w:rPr>
                              <w:t>JG</w:t>
                            </w:r>
                            <w:r>
                              <w:rPr>
                                <w:rFonts w:hint="eastAsia"/>
                              </w:rPr>
                              <w:t>/T</w:t>
                            </w:r>
                            <w:r>
                              <w:rPr>
                                <w:lang w:val="de-DE"/>
                              </w:rPr>
                              <w:t xml:space="preserve"> ××××—××××</w:t>
                            </w:r>
                          </w:p>
                          <w:p w14:paraId="69CFE7E5">
                            <w:pPr>
                              <w:pStyle w:val="80"/>
                              <w:rPr>
                                <w:rFonts w:cs="Times New Roman"/>
                              </w:rPr>
                            </w:pPr>
                            <w:r>
                              <w:rPr>
                                <w:rFonts w:hint="eastAsia"/>
                              </w:rPr>
                              <w:t>代替</w:t>
                            </w:r>
                            <w:r>
                              <w:rPr>
                                <w:lang w:val="de-DE"/>
                              </w:rPr>
                              <w:t xml:space="preserve"> JG 118-20</w:t>
                            </w:r>
                            <w:r>
                              <w:rPr>
                                <w:rFonts w:hint="eastAsia"/>
                              </w:rPr>
                              <w:t>18</w:t>
                            </w:r>
                          </w:p>
                        </w:txbxContent>
                      </wps:txbx>
                      <wps:bodyPr rot="0" vert="horz" wrap="square" lIns="0" tIns="0" rIns="0" bIns="0" anchor="t" anchorCtr="0" upright="1">
                        <a:noAutofit/>
                      </wps:bodyPr>
                    </wps:wsp>
                  </a:graphicData>
                </a:graphic>
              </wp:anchor>
            </w:drawing>
          </mc:Choice>
          <mc:Fallback>
            <w:pict>
              <v:shape id="fmFrame3" o:spid="_x0000_s1026" o:spt="202" type="#_x0000_t202" style="position:absolute;left:0pt;margin-top:120.25pt;height:57.95pt;width:456.9pt;mso-position-horizontal:left;mso-position-horizontal-relative:margin;mso-position-vertical-relative:margin;z-index:251661312;mso-width-relative:page;mso-height-relative:page;" fillcolor="#FFFFFF" filled="t" stroked="f" coordsize="21600,21600" o:gfxdata="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h2uwNgAAAAIAQAADwAA&#10;AAAAAAABACAAAAAiAAAAZHJzL2Rvd25yZXYueG1sUEsBAhQAFAAAAAgAh07iQLnumtkWAgAAOgQA&#10;AA4AAAAAAAAAAQAgAAAAJwEAAGRycy9lMm9Eb2MueG1sUEsFBgAAAAAGAAYAWQEAAK8FAAAAAA==&#10;">
                <v:fill on="t" focussize="0,0"/>
                <v:stroke on="f"/>
                <v:imagedata o:title=""/>
                <o:lock v:ext="edit" aspectratio="f"/>
                <v:textbox inset="0mm,0mm,0mm,0mm">
                  <w:txbxContent>
                    <w:p w14:paraId="347E3BFB">
                      <w:pPr>
                        <w:pStyle w:val="79"/>
                        <w:rPr>
                          <w:lang w:val="de-DE"/>
                        </w:rPr>
                      </w:pPr>
                      <w:r>
                        <w:rPr>
                          <w:lang w:val="de-DE"/>
                        </w:rPr>
                        <w:t>JG</w:t>
                      </w:r>
                      <w:r>
                        <w:rPr>
                          <w:rFonts w:hint="eastAsia"/>
                        </w:rPr>
                        <w:t>/T</w:t>
                      </w:r>
                      <w:r>
                        <w:rPr>
                          <w:lang w:val="de-DE"/>
                        </w:rPr>
                        <w:t xml:space="preserve"> ××××—××××</w:t>
                      </w:r>
                    </w:p>
                    <w:p w14:paraId="69CFE7E5">
                      <w:pPr>
                        <w:pStyle w:val="80"/>
                        <w:rPr>
                          <w:rFonts w:cs="Times New Roman"/>
                        </w:rPr>
                      </w:pPr>
                      <w:r>
                        <w:rPr>
                          <w:rFonts w:hint="eastAsia"/>
                        </w:rPr>
                        <w:t>代替</w:t>
                      </w:r>
                      <w:r>
                        <w:rPr>
                          <w:lang w:val="de-DE"/>
                        </w:rPr>
                        <w:t xml:space="preserve"> JG 118-20</w:t>
                      </w:r>
                      <w:r>
                        <w:rPr>
                          <w:rFonts w:hint="eastAsia"/>
                        </w:rPr>
                        <w:t>18</w:t>
                      </w:r>
                    </w:p>
                  </w:txbxContent>
                </v:textbox>
                <w10:anchorlock/>
              </v:shape>
            </w:pict>
          </mc:Fallback>
        </mc:AlternateContent>
      </w:r>
      <w:r>
        <mc:AlternateContent>
          <mc:Choice Requires="wps">
            <w:drawing>
              <wp:anchor distT="0" distB="0" distL="114300" distR="114300" simplePos="0" relativeHeight="251660288" behindDoc="0" locked="1" layoutInCell="1" allowOverlap="1">
                <wp:simplePos x="0" y="0"/>
                <wp:positionH relativeFrom="margin">
                  <wp:posOffset>2549525</wp:posOffset>
                </wp:positionH>
                <wp:positionV relativeFrom="margin">
                  <wp:posOffset>107315</wp:posOffset>
                </wp:positionV>
                <wp:extent cx="3175000" cy="720090"/>
                <wp:effectExtent l="0" t="0" r="6350" b="3810"/>
                <wp:wrapNone/>
                <wp:docPr id="33" name="fmFrame8"/>
                <wp:cNvGraphicFramePr/>
                <a:graphic xmlns:a="http://schemas.openxmlformats.org/drawingml/2006/main">
                  <a:graphicData uri="http://schemas.microsoft.com/office/word/2010/wordprocessingShape">
                    <wps:wsp>
                      <wps:cNvSpPr txBox="1">
                        <a:spLocks noChangeArrowheads="1"/>
                      </wps:cNvSpPr>
                      <wps:spPr bwMode="auto">
                        <a:xfrm>
                          <a:off x="0" y="0"/>
                          <a:ext cx="3175000" cy="720090"/>
                        </a:xfrm>
                        <a:prstGeom prst="rect">
                          <a:avLst/>
                        </a:prstGeom>
                        <a:solidFill>
                          <a:srgbClr val="FFFFFF"/>
                        </a:solidFill>
                        <a:ln>
                          <a:noFill/>
                        </a:ln>
                        <a:effectLst/>
                      </wps:spPr>
                      <wps:txbx>
                        <w:txbxContent>
                          <w:p w14:paraId="683CECD9">
                            <w:pPr>
                              <w:pStyle w:val="61"/>
                            </w:pPr>
                            <w:r>
                              <w:t>JG</w:t>
                            </w:r>
                          </w:p>
                        </w:txbxContent>
                      </wps:txbx>
                      <wps:bodyPr rot="0" vert="horz" wrap="square" lIns="0" tIns="0" rIns="0" bIns="0" anchor="t" anchorCtr="0" upright="1">
                        <a:noAutofit/>
                      </wps:bodyPr>
                    </wps:wsp>
                  </a:graphicData>
                </a:graphic>
              </wp:anchor>
            </w:drawing>
          </mc:Choice>
          <mc:Fallback>
            <w:pict>
              <v:shape id="fmFrame8" o:spid="_x0000_s1026" o:spt="202" type="#_x0000_t202" style="position:absolute;left:0pt;margin-left:200.75pt;margin-top:8.45pt;height:56.7pt;width:250pt;mso-position-horizontal-relative:margin;mso-position-vertical-relative:margin;z-index:251660288;mso-width-relative:page;mso-height-relative:page;" fillcolor="#FFFFFF" filled="t" stroked="f" coordsize="21600,21600" o:gfxdata="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JWTs82AAAAAoBAAAPAAAA&#10;AAAAAAEAIAAAACIAAABkcnMvZG93bnJldi54bWxQSwECFAAUAAAACACHTuJAA/cX8xUCAAA6BAAA&#10;DgAAAAAAAAABACAAAAAnAQAAZHJzL2Uyb0RvYy54bWxQSwUGAAAAAAYABgBZAQAArgUAAAAA&#10;">
                <v:fill on="t" focussize="0,0"/>
                <v:stroke on="f"/>
                <v:imagedata o:title=""/>
                <o:lock v:ext="edit" aspectratio="f"/>
                <v:textbox inset="0mm,0mm,0mm,0mm">
                  <w:txbxContent>
                    <w:p w14:paraId="683CECD9">
                      <w:pPr>
                        <w:pStyle w:val="61"/>
                      </w:pPr>
                      <w:r>
                        <w:t>JG</w:t>
                      </w:r>
                    </w:p>
                  </w:txbxContent>
                </v:textbox>
                <w10:anchorlock/>
              </v:shape>
            </w:pict>
          </mc:Fallback>
        </mc:AlternateContent>
      </w:r>
      <w:r>
        <mc:AlternateContent>
          <mc:Choice Requires="wps">
            <w:drawing>
              <wp:anchor distT="0" distB="0" distL="114300" distR="114300" simplePos="0" relativeHeight="251659264" behindDoc="0" locked="1" layoutInCell="1" allowOverlap="1">
                <wp:simplePos x="0" y="0"/>
                <wp:positionH relativeFrom="margin">
                  <wp:posOffset>-1270</wp:posOffset>
                </wp:positionH>
                <wp:positionV relativeFrom="margin">
                  <wp:posOffset>1007745</wp:posOffset>
                </wp:positionV>
                <wp:extent cx="6120130" cy="548640"/>
                <wp:effectExtent l="0" t="0" r="13970" b="3810"/>
                <wp:wrapNone/>
                <wp:docPr id="32" name="fmFrame2"/>
                <wp:cNvGraphicFramePr/>
                <a:graphic xmlns:a="http://schemas.openxmlformats.org/drawingml/2006/main">
                  <a:graphicData uri="http://schemas.microsoft.com/office/word/2010/wordprocessingShape">
                    <wps:wsp>
                      <wps:cNvSpPr txBox="1">
                        <a:spLocks noChangeArrowheads="1"/>
                      </wps:cNvSpPr>
                      <wps:spPr bwMode="auto">
                        <a:xfrm>
                          <a:off x="0" y="0"/>
                          <a:ext cx="6120130" cy="548640"/>
                        </a:xfrm>
                        <a:prstGeom prst="rect">
                          <a:avLst/>
                        </a:prstGeom>
                        <a:solidFill>
                          <a:srgbClr val="FFFFFF"/>
                        </a:solidFill>
                        <a:ln>
                          <a:noFill/>
                        </a:ln>
                        <a:effectLst/>
                      </wps:spPr>
                      <wps:txbx>
                        <w:txbxContent>
                          <w:p w14:paraId="22108BD3">
                            <w:pPr>
                              <w:pStyle w:val="103"/>
                              <w:rPr>
                                <w:rFonts w:hint="eastAsia" w:cs="Times New Roman"/>
                              </w:rPr>
                            </w:pPr>
                            <w:r>
                              <w:rPr>
                                <w:rFonts w:hint="eastAsia"/>
                              </w:rPr>
                              <w:t>中华人民共和国建筑工业行业标准</w:t>
                            </w:r>
                          </w:p>
                        </w:txbxContent>
                      </wps:txbx>
                      <wps:bodyPr rot="0" vert="horz" wrap="square" lIns="0" tIns="0" rIns="0" bIns="0" anchor="t" anchorCtr="0" upright="1">
                        <a:noAutofit/>
                      </wps:bodyPr>
                    </wps:wsp>
                  </a:graphicData>
                </a:graphic>
              </wp:anchor>
            </w:drawing>
          </mc:Choice>
          <mc:Fallback>
            <w:pict>
              <v:shape id="fmFrame2" o:spid="_x0000_s1026" o:spt="202" type="#_x0000_t202" style="position:absolute;left:0pt;margin-left:-0.1pt;margin-top:79.35pt;height:43.2pt;width:481.9pt;mso-position-horizontal-relative:margin;mso-position-vertical-relative:margin;z-index:251659264;mso-width-relative:page;mso-height-relative:page;" fillcolor="#FFFFFF" filled="t" stroked="f" coordsize="21600,21600" o:gfxdata="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8yHN9kAAAAJAQAADwAA&#10;AAAAAAABACAAAAAiAAAAZHJzL2Rvd25yZXYueG1sUEsBAhQAFAAAAAgAh07iQDKbWNAVAgAAOgQA&#10;AA4AAAAAAAAAAQAgAAAAKAEAAGRycy9lMm9Eb2MueG1sUEsFBgAAAAAGAAYAWQEAAK8FAAAAAA==&#10;">
                <v:fill on="t" focussize="0,0"/>
                <v:stroke on="f"/>
                <v:imagedata o:title=""/>
                <o:lock v:ext="edit" aspectratio="f"/>
                <v:textbox inset="0mm,0mm,0mm,0mm">
                  <w:txbxContent>
                    <w:p w14:paraId="22108BD3">
                      <w:pPr>
                        <w:pStyle w:val="103"/>
                        <w:rPr>
                          <w:rFonts w:hint="eastAsia" w:cs="Times New Roman"/>
                        </w:rPr>
                      </w:pPr>
                      <w:r>
                        <w:rPr>
                          <w:rFonts w:hint="eastAsia"/>
                        </w:rPr>
                        <w:t>中华人民共和国建筑工业行业标准</w:t>
                      </w:r>
                    </w:p>
                  </w:txbxContent>
                </v:textbox>
                <w10:anchorlock/>
              </v:shape>
            </w:pict>
          </mc:Fallback>
        </mc:AlternateContent>
      </w:r>
    </w:p>
    <w:bookmarkEnd w:id="0"/>
    <w:tbl>
      <w:tblPr>
        <w:tblStyle w:val="32"/>
        <w:tblW w:w="1023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108"/>
        <w:gridCol w:w="5126"/>
      </w:tblGrid>
      <w:tr w14:paraId="7C99D7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9" w:hRule="atLeast"/>
          <w:tblHeader/>
          <w:jc w:val="center"/>
        </w:trPr>
        <w:tc>
          <w:tcPr>
            <w:tcW w:w="5108" w:type="dxa"/>
            <w:shd w:val="clear" w:color="auto" w:fill="E7E6E6"/>
            <w:vAlign w:val="center"/>
          </w:tcPr>
          <w:p w14:paraId="76D3B32C">
            <w:pPr>
              <w:spacing w:line="360" w:lineRule="auto"/>
              <w:jc w:val="center"/>
              <w:rPr>
                <w:rFonts w:hint="eastAsia" w:ascii="黑体" w:hAnsi="黑体" w:eastAsia="黑体"/>
                <w:sz w:val="28"/>
                <w:szCs w:val="24"/>
              </w:rPr>
            </w:pPr>
            <w:r>
              <w:rPr>
                <w:rFonts w:hint="eastAsia" w:ascii="黑体" w:hAnsi="黑体" w:eastAsia="黑体"/>
                <w:sz w:val="28"/>
                <w:szCs w:val="24"/>
              </w:rPr>
              <w:t>现行《标准》条文</w:t>
            </w:r>
          </w:p>
        </w:tc>
        <w:tc>
          <w:tcPr>
            <w:tcW w:w="5126" w:type="dxa"/>
            <w:shd w:val="clear" w:color="auto" w:fill="E7E6E6"/>
            <w:vAlign w:val="center"/>
          </w:tcPr>
          <w:p w14:paraId="328D94FF">
            <w:pPr>
              <w:spacing w:line="360" w:lineRule="auto"/>
              <w:jc w:val="center"/>
              <w:rPr>
                <w:rFonts w:hint="eastAsia" w:ascii="黑体" w:hAnsi="黑体" w:eastAsia="黑体"/>
                <w:sz w:val="28"/>
                <w:szCs w:val="24"/>
              </w:rPr>
            </w:pPr>
            <w:r>
              <w:rPr>
                <w:rFonts w:hint="eastAsia" w:ascii="黑体" w:hAnsi="黑体" w:eastAsia="黑体"/>
                <w:sz w:val="28"/>
                <w:szCs w:val="24"/>
              </w:rPr>
              <w:t>修订《标准》条文</w:t>
            </w:r>
          </w:p>
        </w:tc>
      </w:tr>
      <w:tr w14:paraId="5CDF3A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8" w:hRule="atLeast"/>
          <w:jc w:val="center"/>
        </w:trPr>
        <w:tc>
          <w:tcPr>
            <w:tcW w:w="5108" w:type="dxa"/>
            <w:vAlign w:val="center"/>
          </w:tcPr>
          <w:p w14:paraId="34F7984E">
            <w:pPr>
              <w:ind w:left="23"/>
              <w:jc w:val="center"/>
              <w:rPr>
                <w:rFonts w:ascii="Calibri" w:hAnsi="Calibri" w:eastAsia="黑体"/>
                <w:sz w:val="24"/>
                <w:szCs w:val="28"/>
              </w:rPr>
            </w:pPr>
            <w:r>
              <w:rPr>
                <w:rFonts w:hint="eastAsia" w:eastAsia="黑体"/>
                <w:b/>
                <w:kern w:val="0"/>
                <w:sz w:val="24"/>
                <w:szCs w:val="28"/>
              </w:rPr>
              <w:t>1　范围</w:t>
            </w:r>
          </w:p>
        </w:tc>
        <w:tc>
          <w:tcPr>
            <w:tcW w:w="5126" w:type="dxa"/>
            <w:vAlign w:val="center"/>
          </w:tcPr>
          <w:p w14:paraId="199AA601">
            <w:pPr>
              <w:jc w:val="center"/>
              <w:rPr>
                <w:rFonts w:hint="eastAsia" w:ascii="Calibri" w:hAnsi="宋体" w:eastAsia="黑体"/>
                <w:sz w:val="24"/>
                <w:szCs w:val="22"/>
              </w:rPr>
            </w:pPr>
            <w:r>
              <w:rPr>
                <w:rFonts w:hint="eastAsia" w:eastAsia="黑体"/>
                <w:b/>
                <w:kern w:val="0"/>
                <w:sz w:val="24"/>
                <w:szCs w:val="28"/>
              </w:rPr>
              <w:t>1　范围</w:t>
            </w:r>
          </w:p>
        </w:tc>
      </w:tr>
      <w:tr w14:paraId="609B54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7AD9B450">
            <w:pPr>
              <w:pStyle w:val="70"/>
              <w:ind w:firstLine="420"/>
              <w:rPr>
                <w:sz w:val="21"/>
                <w:szCs w:val="21"/>
              </w:rPr>
            </w:pPr>
            <w:r>
              <w:rPr>
                <w:rFonts w:hint="eastAsia"/>
                <w:sz w:val="21"/>
                <w:szCs w:val="21"/>
              </w:rPr>
              <w:t>本标准规定了建筑隔震橡胶支座产品的</w:t>
            </w:r>
            <w:r>
              <w:rPr>
                <w:sz w:val="21"/>
                <w:szCs w:val="21"/>
              </w:rPr>
              <w:t>术语和</w:t>
            </w:r>
            <w:r>
              <w:rPr>
                <w:rFonts w:hint="eastAsia"/>
                <w:sz w:val="21"/>
                <w:szCs w:val="21"/>
              </w:rPr>
              <w:t>定义、符号</w:t>
            </w:r>
            <w:r>
              <w:rPr>
                <w:sz w:val="21"/>
                <w:szCs w:val="21"/>
              </w:rPr>
              <w:t>、</w:t>
            </w:r>
            <w:r>
              <w:rPr>
                <w:rFonts w:hint="eastAsia"/>
                <w:sz w:val="21"/>
                <w:szCs w:val="21"/>
              </w:rPr>
              <w:t>分类与标记、一般要求、要求、试验方法、检验规则、标志、包装、运输和贮存。</w:t>
            </w:r>
          </w:p>
          <w:p w14:paraId="0CE7623E">
            <w:pPr>
              <w:snapToGrid w:val="0"/>
              <w:spacing w:line="360" w:lineRule="auto"/>
              <w:ind w:firstLine="420" w:firstLineChars="200"/>
              <w:rPr>
                <w:sz w:val="24"/>
                <w:szCs w:val="24"/>
              </w:rPr>
            </w:pPr>
            <w:r>
              <w:rPr>
                <w:rFonts w:hint="eastAsia"/>
              </w:rPr>
              <w:t>本标准适用于工业与民用建筑所用的建筑隔震橡胶支座。</w:t>
            </w:r>
          </w:p>
        </w:tc>
        <w:tc>
          <w:tcPr>
            <w:tcW w:w="5126" w:type="dxa"/>
            <w:vAlign w:val="center"/>
          </w:tcPr>
          <w:p w14:paraId="23B09DB2">
            <w:pPr>
              <w:pStyle w:val="70"/>
              <w:ind w:firstLine="420"/>
              <w:rPr>
                <w:sz w:val="21"/>
                <w:szCs w:val="21"/>
              </w:rPr>
            </w:pPr>
            <w:r>
              <w:rPr>
                <w:rFonts w:hint="eastAsia"/>
                <w:sz w:val="21"/>
                <w:szCs w:val="21"/>
              </w:rPr>
              <w:t>本标准规定了建筑隔震橡胶支座产品的</w:t>
            </w:r>
            <w:r>
              <w:rPr>
                <w:sz w:val="21"/>
                <w:szCs w:val="21"/>
              </w:rPr>
              <w:t>术语和</w:t>
            </w:r>
            <w:r>
              <w:rPr>
                <w:rFonts w:hint="eastAsia"/>
                <w:sz w:val="21"/>
                <w:szCs w:val="21"/>
              </w:rPr>
              <w:t>定义、符号</w:t>
            </w:r>
            <w:r>
              <w:rPr>
                <w:sz w:val="21"/>
                <w:szCs w:val="21"/>
              </w:rPr>
              <w:t>、</w:t>
            </w:r>
            <w:r>
              <w:rPr>
                <w:rFonts w:hint="eastAsia"/>
                <w:sz w:val="21"/>
                <w:szCs w:val="21"/>
              </w:rPr>
              <w:t>分类与标记、一般要求、要求、试验方法、检验规则、标志、包装、运输和贮存。</w:t>
            </w:r>
          </w:p>
          <w:p w14:paraId="499E7FD8">
            <w:pPr>
              <w:pStyle w:val="70"/>
              <w:ind w:firstLine="420"/>
              <w:rPr>
                <w:rFonts w:ascii="Times New Roman"/>
                <w:b/>
                <w:bCs/>
                <w:sz w:val="32"/>
                <w:szCs w:val="32"/>
                <w:u w:val="single"/>
              </w:rPr>
            </w:pPr>
            <w:r>
              <w:rPr>
                <w:rFonts w:hint="eastAsia"/>
                <w:sz w:val="21"/>
                <w:szCs w:val="21"/>
              </w:rPr>
              <w:t>本标准适用于工业与民用建筑所用的建筑隔震橡胶支座。</w:t>
            </w:r>
            <w:r>
              <w:rPr>
                <w:rFonts w:hint="eastAsia"/>
                <w:sz w:val="21"/>
                <w:szCs w:val="21"/>
                <w:u w:val="single"/>
              </w:rPr>
              <w:t>构筑物、设备等隔震所需的隔震橡胶支座也可参照使用。</w:t>
            </w:r>
          </w:p>
        </w:tc>
      </w:tr>
      <w:tr w14:paraId="65D489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42080303">
            <w:pPr>
              <w:pStyle w:val="70"/>
              <w:ind w:firstLine="482"/>
              <w:jc w:val="center"/>
              <w:rPr>
                <w:rFonts w:ascii="Times New Roman" w:eastAsia="黑体"/>
                <w:b/>
                <w:kern w:val="0"/>
                <w:szCs w:val="28"/>
              </w:rPr>
            </w:pPr>
            <w:r>
              <w:rPr>
                <w:rFonts w:hint="eastAsia" w:ascii="Times New Roman" w:eastAsia="黑体"/>
                <w:b/>
                <w:kern w:val="0"/>
                <w:szCs w:val="28"/>
              </w:rPr>
              <w:t>2　规范性引用文件</w:t>
            </w:r>
          </w:p>
        </w:tc>
        <w:tc>
          <w:tcPr>
            <w:tcW w:w="5126" w:type="dxa"/>
            <w:vAlign w:val="center"/>
          </w:tcPr>
          <w:p w14:paraId="486856BE">
            <w:pPr>
              <w:pStyle w:val="70"/>
              <w:ind w:firstLine="482"/>
              <w:jc w:val="center"/>
              <w:rPr>
                <w:rFonts w:ascii="Times New Roman" w:eastAsia="黑体"/>
                <w:b/>
                <w:kern w:val="0"/>
                <w:szCs w:val="28"/>
              </w:rPr>
            </w:pPr>
            <w:r>
              <w:rPr>
                <w:rFonts w:hint="eastAsia" w:ascii="Times New Roman" w:eastAsia="黑体"/>
                <w:b/>
                <w:kern w:val="0"/>
                <w:szCs w:val="28"/>
              </w:rPr>
              <w:t>2　规范性引用文件</w:t>
            </w:r>
          </w:p>
        </w:tc>
      </w:tr>
      <w:tr w14:paraId="416144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25BAEBFC">
            <w:pPr>
              <w:pStyle w:val="70"/>
              <w:ind w:firstLine="420"/>
              <w:rPr>
                <w:sz w:val="21"/>
                <w:szCs w:val="21"/>
              </w:rPr>
            </w:pPr>
            <w:r>
              <w:rPr>
                <w:rFonts w:hint="eastAsia"/>
                <w:sz w:val="21"/>
                <w:szCs w:val="21"/>
              </w:rPr>
              <w:t>下列文件对于本文件的应用是必不可少的。凡是注日期的引用文件，仅注日期的版本适用于本文件。凡是不注日期的引用文件，其最新版本（包括所有的修改单）适用于本文件。</w:t>
            </w:r>
          </w:p>
          <w:p w14:paraId="0EFBFB91">
            <w:pPr>
              <w:pStyle w:val="70"/>
              <w:ind w:firstLine="420"/>
              <w:rPr>
                <w:sz w:val="21"/>
                <w:szCs w:val="21"/>
              </w:rPr>
            </w:pPr>
            <w:r>
              <w:rPr>
                <w:sz w:val="21"/>
                <w:szCs w:val="21"/>
              </w:rPr>
              <w:t xml:space="preserve">GB/T 469 </w:t>
            </w:r>
            <w:r>
              <w:rPr>
                <w:rFonts w:hint="eastAsia"/>
                <w:sz w:val="21"/>
                <w:szCs w:val="21"/>
              </w:rPr>
              <w:t>铅锭</w:t>
            </w:r>
          </w:p>
          <w:p w14:paraId="73EE950E">
            <w:pPr>
              <w:pStyle w:val="70"/>
              <w:ind w:firstLine="420"/>
              <w:rPr>
                <w:sz w:val="21"/>
                <w:szCs w:val="21"/>
              </w:rPr>
            </w:pPr>
            <w:r>
              <w:rPr>
                <w:sz w:val="21"/>
                <w:szCs w:val="21"/>
              </w:rPr>
              <w:t xml:space="preserve">GB/T 528 </w:t>
            </w:r>
            <w:r>
              <w:rPr>
                <w:rFonts w:hint="eastAsia"/>
                <w:sz w:val="21"/>
                <w:szCs w:val="21"/>
              </w:rPr>
              <w:t>硫化橡胶或热塑性橡胶拉伸应力应变性能的测定</w:t>
            </w:r>
            <w:r>
              <w:rPr>
                <w:sz w:val="21"/>
                <w:szCs w:val="21"/>
              </w:rPr>
              <w:t xml:space="preserve">           </w:t>
            </w:r>
          </w:p>
          <w:p w14:paraId="22D940CF">
            <w:pPr>
              <w:pStyle w:val="70"/>
              <w:ind w:firstLine="420"/>
              <w:rPr>
                <w:sz w:val="21"/>
                <w:szCs w:val="21"/>
              </w:rPr>
            </w:pPr>
            <w:r>
              <w:rPr>
                <w:sz w:val="21"/>
                <w:szCs w:val="21"/>
              </w:rPr>
              <w:t xml:space="preserve">GB/T 531.1 </w:t>
            </w:r>
            <w:r>
              <w:rPr>
                <w:rFonts w:hint="eastAsia"/>
                <w:sz w:val="21"/>
                <w:szCs w:val="21"/>
              </w:rPr>
              <w:t>硫化橡胶或热塑性橡胶压入硬度试验方法第</w:t>
            </w:r>
            <w:r>
              <w:rPr>
                <w:sz w:val="21"/>
                <w:szCs w:val="21"/>
              </w:rPr>
              <w:t>1</w:t>
            </w:r>
            <w:r>
              <w:rPr>
                <w:rFonts w:hint="eastAsia"/>
                <w:sz w:val="21"/>
                <w:szCs w:val="21"/>
              </w:rPr>
              <w:t>部分：邵氏硬度计法</w:t>
            </w:r>
            <w:r>
              <w:rPr>
                <w:sz w:val="21"/>
                <w:szCs w:val="21"/>
              </w:rPr>
              <w:t>(</w:t>
            </w:r>
            <w:r>
              <w:rPr>
                <w:rFonts w:hint="eastAsia"/>
                <w:sz w:val="21"/>
                <w:szCs w:val="21"/>
              </w:rPr>
              <w:t>邵尔硬度</w:t>
            </w:r>
            <w:r>
              <w:rPr>
                <w:sz w:val="21"/>
                <w:szCs w:val="21"/>
              </w:rPr>
              <w:t xml:space="preserve">) </w:t>
            </w:r>
          </w:p>
          <w:p w14:paraId="03980F75">
            <w:pPr>
              <w:pStyle w:val="70"/>
              <w:ind w:firstLine="420"/>
              <w:rPr>
                <w:sz w:val="21"/>
                <w:szCs w:val="21"/>
              </w:rPr>
            </w:pPr>
            <w:r>
              <w:rPr>
                <w:sz w:val="21"/>
                <w:szCs w:val="21"/>
              </w:rPr>
              <w:t xml:space="preserve">GB 912 </w:t>
            </w:r>
            <w:r>
              <w:rPr>
                <w:rFonts w:hint="eastAsia"/>
                <w:sz w:val="21"/>
                <w:szCs w:val="21"/>
              </w:rPr>
              <w:t>碳素结构钢和低合金结构钢热轧薄钢板和钢带</w:t>
            </w:r>
          </w:p>
          <w:p w14:paraId="7B95AF33">
            <w:pPr>
              <w:pStyle w:val="70"/>
              <w:ind w:firstLine="420"/>
              <w:rPr>
                <w:sz w:val="21"/>
                <w:szCs w:val="21"/>
              </w:rPr>
            </w:pPr>
            <w:r>
              <w:rPr>
                <w:sz w:val="21"/>
                <w:szCs w:val="21"/>
              </w:rPr>
              <w:t xml:space="preserve">GB/T 2941 </w:t>
            </w:r>
            <w:r>
              <w:rPr>
                <w:rFonts w:hint="eastAsia"/>
                <w:sz w:val="21"/>
                <w:szCs w:val="21"/>
              </w:rPr>
              <w:t>橡胶物理试验方法试样制备和调节通用程序</w:t>
            </w:r>
          </w:p>
          <w:p w14:paraId="386F4478">
            <w:pPr>
              <w:pStyle w:val="70"/>
              <w:ind w:firstLine="420"/>
              <w:rPr>
                <w:sz w:val="21"/>
                <w:szCs w:val="21"/>
              </w:rPr>
            </w:pPr>
            <w:r>
              <w:rPr>
                <w:sz w:val="21"/>
                <w:szCs w:val="21"/>
              </w:rPr>
              <w:t xml:space="preserve">GB/T 3274 </w:t>
            </w:r>
            <w:r>
              <w:rPr>
                <w:rFonts w:hint="eastAsia"/>
                <w:sz w:val="21"/>
                <w:szCs w:val="21"/>
              </w:rPr>
              <w:t>碳素结构钢和低合金结构钢热轧厚钢板和钢带</w:t>
            </w:r>
          </w:p>
          <w:p w14:paraId="1FA27CB2">
            <w:pPr>
              <w:pStyle w:val="70"/>
              <w:ind w:firstLine="420"/>
              <w:rPr>
                <w:sz w:val="21"/>
                <w:szCs w:val="21"/>
              </w:rPr>
            </w:pPr>
            <w:r>
              <w:rPr>
                <w:sz w:val="21"/>
                <w:szCs w:val="21"/>
              </w:rPr>
              <w:t>GB</w:t>
            </w:r>
            <w:bookmarkStart w:id="1" w:name="OLE_LINK43"/>
            <w:bookmarkStart w:id="2" w:name="OLE_LINK42"/>
            <w:r>
              <w:rPr>
                <w:sz w:val="21"/>
                <w:szCs w:val="21"/>
              </w:rPr>
              <w:t xml:space="preserve">/T 3512 </w:t>
            </w:r>
            <w:bookmarkEnd w:id="1"/>
            <w:bookmarkEnd w:id="2"/>
            <w:r>
              <w:rPr>
                <w:rFonts w:hint="eastAsia"/>
                <w:sz w:val="21"/>
                <w:szCs w:val="21"/>
              </w:rPr>
              <w:t>硫化橡胶或热塑性橡胶</w:t>
            </w:r>
            <w:r>
              <w:rPr>
                <w:sz w:val="21"/>
                <w:szCs w:val="21"/>
              </w:rPr>
              <w:t xml:space="preserve"> </w:t>
            </w:r>
            <w:r>
              <w:rPr>
                <w:rFonts w:hint="eastAsia"/>
                <w:sz w:val="21"/>
                <w:szCs w:val="21"/>
              </w:rPr>
              <w:t>热空气加速老化和耐热试验</w:t>
            </w:r>
          </w:p>
          <w:p w14:paraId="37968EFB">
            <w:pPr>
              <w:pStyle w:val="70"/>
              <w:ind w:firstLine="420"/>
              <w:rPr>
                <w:sz w:val="21"/>
                <w:szCs w:val="21"/>
              </w:rPr>
            </w:pPr>
            <w:bookmarkStart w:id="3" w:name="OLE_LINK45"/>
            <w:bookmarkStart w:id="4" w:name="OLE_LINK44"/>
            <w:r>
              <w:rPr>
                <w:sz w:val="21"/>
                <w:szCs w:val="21"/>
              </w:rPr>
              <w:t xml:space="preserve">GB/T 3672.1 </w:t>
            </w:r>
            <w:r>
              <w:rPr>
                <w:rFonts w:hint="eastAsia"/>
                <w:sz w:val="21"/>
                <w:szCs w:val="21"/>
              </w:rPr>
              <w:t>橡胶制品的公差</w:t>
            </w:r>
            <w:r>
              <w:rPr>
                <w:sz w:val="21"/>
                <w:szCs w:val="21"/>
              </w:rPr>
              <w:t xml:space="preserve"> </w:t>
            </w:r>
            <w:r>
              <w:rPr>
                <w:rFonts w:hint="eastAsia"/>
                <w:sz w:val="21"/>
                <w:szCs w:val="21"/>
              </w:rPr>
              <w:t>第</w:t>
            </w:r>
            <w:r>
              <w:rPr>
                <w:sz w:val="21"/>
                <w:szCs w:val="21"/>
              </w:rPr>
              <w:t>1</w:t>
            </w:r>
            <w:r>
              <w:rPr>
                <w:rFonts w:hint="eastAsia"/>
                <w:sz w:val="21"/>
                <w:szCs w:val="21"/>
              </w:rPr>
              <w:t>部分：尺寸公差</w:t>
            </w:r>
            <w:bookmarkEnd w:id="3"/>
            <w:bookmarkEnd w:id="4"/>
          </w:p>
          <w:p w14:paraId="25F8169E">
            <w:pPr>
              <w:pStyle w:val="70"/>
              <w:ind w:firstLine="420"/>
              <w:rPr>
                <w:sz w:val="21"/>
                <w:szCs w:val="21"/>
              </w:rPr>
            </w:pPr>
            <w:r>
              <w:rPr>
                <w:sz w:val="21"/>
                <w:szCs w:val="21"/>
              </w:rPr>
              <w:t xml:space="preserve">GB/T 7759.1 </w:t>
            </w:r>
            <w:r>
              <w:rPr>
                <w:rFonts w:hint="eastAsia"/>
                <w:sz w:val="21"/>
                <w:szCs w:val="21"/>
              </w:rPr>
              <w:t>硫化橡胶或热塑性橡胶</w:t>
            </w:r>
            <w:r>
              <w:rPr>
                <w:sz w:val="21"/>
                <w:szCs w:val="21"/>
              </w:rPr>
              <w:t xml:space="preserve"> </w:t>
            </w:r>
            <w:r>
              <w:rPr>
                <w:rFonts w:hint="eastAsia"/>
                <w:sz w:val="21"/>
                <w:szCs w:val="21"/>
              </w:rPr>
              <w:t>压缩永久变形的测定</w:t>
            </w:r>
            <w:r>
              <w:rPr>
                <w:sz w:val="21"/>
                <w:szCs w:val="21"/>
              </w:rPr>
              <w:t xml:space="preserve"> </w:t>
            </w:r>
            <w:r>
              <w:rPr>
                <w:rFonts w:hint="eastAsia"/>
                <w:sz w:val="21"/>
                <w:szCs w:val="21"/>
              </w:rPr>
              <w:t>第</w:t>
            </w:r>
            <w:r>
              <w:rPr>
                <w:sz w:val="21"/>
                <w:szCs w:val="21"/>
              </w:rPr>
              <w:t>1</w:t>
            </w:r>
            <w:r>
              <w:rPr>
                <w:rFonts w:hint="eastAsia"/>
                <w:sz w:val="21"/>
                <w:szCs w:val="21"/>
              </w:rPr>
              <w:t>部分：在常温及高温条件下</w:t>
            </w:r>
          </w:p>
          <w:p w14:paraId="3988604C">
            <w:pPr>
              <w:pStyle w:val="70"/>
              <w:ind w:firstLine="420"/>
              <w:rPr>
                <w:sz w:val="21"/>
                <w:szCs w:val="21"/>
              </w:rPr>
            </w:pPr>
            <w:r>
              <w:rPr>
                <w:sz w:val="21"/>
                <w:szCs w:val="21"/>
              </w:rPr>
              <w:t xml:space="preserve">GB/T 7760 </w:t>
            </w:r>
            <w:r>
              <w:rPr>
                <w:rFonts w:hint="eastAsia"/>
                <w:sz w:val="21"/>
                <w:szCs w:val="21"/>
              </w:rPr>
              <w:t>硫化橡胶或热塑性橡胶与硬质板材黏合强度的测定</w:t>
            </w:r>
            <w:r>
              <w:rPr>
                <w:sz w:val="21"/>
                <w:szCs w:val="21"/>
              </w:rPr>
              <w:t>90</w:t>
            </w:r>
            <w:r>
              <w:rPr>
                <w:sz w:val="21"/>
                <w:szCs w:val="21"/>
                <w:vertAlign w:val="superscript"/>
              </w:rPr>
              <w:t>0</w:t>
            </w:r>
            <w:r>
              <w:rPr>
                <w:rFonts w:hint="eastAsia"/>
                <w:sz w:val="21"/>
                <w:szCs w:val="21"/>
              </w:rPr>
              <w:t>剥离法</w:t>
            </w:r>
          </w:p>
          <w:p w14:paraId="3FE32697">
            <w:pPr>
              <w:pStyle w:val="70"/>
              <w:ind w:firstLine="420"/>
              <w:rPr>
                <w:sz w:val="21"/>
                <w:szCs w:val="21"/>
              </w:rPr>
            </w:pPr>
            <w:r>
              <w:rPr>
                <w:sz w:val="21"/>
                <w:szCs w:val="21"/>
              </w:rPr>
              <w:t xml:space="preserve">GB/T 7762 </w:t>
            </w:r>
            <w:r>
              <w:rPr>
                <w:rFonts w:hint="eastAsia"/>
                <w:sz w:val="21"/>
                <w:szCs w:val="21"/>
              </w:rPr>
              <w:t>硫化橡胶或热塑性橡胶</w:t>
            </w:r>
            <w:r>
              <w:rPr>
                <w:sz w:val="21"/>
                <w:szCs w:val="21"/>
              </w:rPr>
              <w:t xml:space="preserve"> </w:t>
            </w:r>
            <w:r>
              <w:rPr>
                <w:rFonts w:hint="eastAsia"/>
                <w:sz w:val="21"/>
                <w:szCs w:val="21"/>
              </w:rPr>
              <w:t>耐臭氧龟裂静态拉伸试验</w:t>
            </w:r>
          </w:p>
          <w:p w14:paraId="084C46AD">
            <w:pPr>
              <w:pStyle w:val="70"/>
              <w:ind w:firstLine="420"/>
              <w:rPr>
                <w:sz w:val="21"/>
                <w:szCs w:val="21"/>
              </w:rPr>
            </w:pPr>
            <w:r>
              <w:rPr>
                <w:rFonts w:hint="eastAsia"/>
                <w:sz w:val="21"/>
                <w:szCs w:val="21"/>
              </w:rPr>
              <w:t>GB/T 9978.1 建筑构件耐火试验方法 第1部分:通用要求</w:t>
            </w:r>
          </w:p>
          <w:p w14:paraId="714009D3">
            <w:pPr>
              <w:pStyle w:val="70"/>
              <w:ind w:firstLine="420"/>
              <w:rPr>
                <w:sz w:val="21"/>
                <w:szCs w:val="21"/>
              </w:rPr>
            </w:pPr>
            <w:r>
              <w:rPr>
                <w:rFonts w:hint="eastAsia"/>
                <w:sz w:val="21"/>
                <w:szCs w:val="21"/>
              </w:rPr>
              <w:t xml:space="preserve">GB/T 9978.7 </w:t>
            </w:r>
            <w:r>
              <w:fldChar w:fldCharType="begin"/>
            </w:r>
            <w:r>
              <w:instrText xml:space="preserve"> HYPERLINK "https://www.baidu.com/link?url=AmvnlZhgvcHEkKNcfCgh-ZelMycxhDTltpL8ZDv2BRV_A2KdT8GQjkejB5fGcKaJa_XW2DZB3mUW3U4i5aJCFScZpVAUbFlMa2E8EuqKzcm&amp;wd=&amp;eqid=9b5be7e20012cf170000000366b46c8d" \t "https://www.baidu.com/_blank" </w:instrText>
            </w:r>
            <w:r>
              <w:fldChar w:fldCharType="separate"/>
            </w:r>
            <w:r>
              <w:rPr>
                <w:sz w:val="21"/>
                <w:szCs w:val="21"/>
              </w:rPr>
              <w:t>建筑构件耐火试验方法 第7部分</w:t>
            </w:r>
            <w:r>
              <w:rPr>
                <w:rFonts w:hint="eastAsia"/>
                <w:sz w:val="21"/>
                <w:szCs w:val="21"/>
              </w:rPr>
              <w:t>：</w:t>
            </w:r>
            <w:r>
              <w:rPr>
                <w:sz w:val="21"/>
                <w:szCs w:val="21"/>
              </w:rPr>
              <w:t>柱的特殊要求</w:t>
            </w:r>
            <w:r>
              <w:rPr>
                <w:sz w:val="21"/>
                <w:szCs w:val="21"/>
              </w:rPr>
              <w:fldChar w:fldCharType="end"/>
            </w:r>
          </w:p>
          <w:p w14:paraId="40C5DF96">
            <w:pPr>
              <w:snapToGrid w:val="0"/>
              <w:spacing w:line="360" w:lineRule="auto"/>
              <w:ind w:firstLine="420" w:firstLineChars="200"/>
              <w:jc w:val="left"/>
            </w:pPr>
            <w:r>
              <w:t xml:space="preserve">GB/T 15256  </w:t>
            </w:r>
            <w:r>
              <w:rPr>
                <w:rFonts w:hint="eastAsia"/>
              </w:rPr>
              <w:t>硫化橡胶或热塑性橡胶低温脆性的测定</w:t>
            </w:r>
            <w:r>
              <w:t>(</w:t>
            </w:r>
            <w:r>
              <w:rPr>
                <w:rFonts w:hint="eastAsia"/>
              </w:rPr>
              <w:t>多试样法</w:t>
            </w:r>
            <w:r>
              <w:t>)</w:t>
            </w:r>
          </w:p>
          <w:p w14:paraId="021F41C2">
            <w:pPr>
              <w:snapToGrid w:val="0"/>
              <w:spacing w:line="360" w:lineRule="auto"/>
              <w:ind w:firstLine="420" w:firstLineChars="200"/>
              <w:jc w:val="left"/>
            </w:pPr>
            <w:r>
              <w:rPr>
                <w:rFonts w:hint="eastAsia"/>
              </w:rPr>
              <w:t>GB/T 20688.1-2007  橡胶支座 第1部分：隔震橡胶支座试验方法</w:t>
            </w:r>
          </w:p>
          <w:p w14:paraId="042A4ECD">
            <w:pPr>
              <w:snapToGrid w:val="0"/>
              <w:spacing w:line="360" w:lineRule="auto"/>
              <w:ind w:firstLine="420" w:firstLineChars="200"/>
              <w:jc w:val="left"/>
            </w:pPr>
            <w:r>
              <w:t xml:space="preserve">HG/T 2198 </w:t>
            </w:r>
            <w:r>
              <w:rPr>
                <w:rFonts w:hint="eastAsia"/>
              </w:rPr>
              <w:t>硫化橡胶物理实验方法的一般要求</w:t>
            </w:r>
          </w:p>
        </w:tc>
        <w:tc>
          <w:tcPr>
            <w:tcW w:w="5126" w:type="dxa"/>
            <w:vAlign w:val="center"/>
          </w:tcPr>
          <w:p w14:paraId="661DBF1A">
            <w:pPr>
              <w:pStyle w:val="70"/>
              <w:ind w:firstLine="420"/>
              <w:rPr>
                <w:sz w:val="21"/>
                <w:szCs w:val="21"/>
              </w:rPr>
            </w:pPr>
            <w:r>
              <w:rPr>
                <w:rFonts w:hint="eastAsia"/>
                <w:sz w:val="21"/>
                <w:szCs w:val="21"/>
              </w:rPr>
              <w:t>下列文件对于本文件的应用是必不可少的。凡是注日期的引用文件，仅注日期的版本适用于本文件。凡是不注日期的引用文件，其最新版本（包括所有的修改单）适用于本文件。</w:t>
            </w:r>
          </w:p>
          <w:p w14:paraId="1E3934DC">
            <w:pPr>
              <w:pStyle w:val="70"/>
              <w:ind w:firstLine="420"/>
              <w:rPr>
                <w:sz w:val="21"/>
                <w:szCs w:val="21"/>
              </w:rPr>
            </w:pPr>
            <w:r>
              <w:rPr>
                <w:sz w:val="21"/>
                <w:szCs w:val="21"/>
              </w:rPr>
              <w:t xml:space="preserve">GB/T 469 </w:t>
            </w:r>
            <w:r>
              <w:rPr>
                <w:rFonts w:hint="eastAsia"/>
                <w:sz w:val="21"/>
                <w:szCs w:val="21"/>
              </w:rPr>
              <w:t>铅锭</w:t>
            </w:r>
          </w:p>
          <w:p w14:paraId="13ADA01C">
            <w:pPr>
              <w:pStyle w:val="70"/>
              <w:ind w:firstLine="420"/>
              <w:rPr>
                <w:sz w:val="21"/>
                <w:szCs w:val="21"/>
              </w:rPr>
            </w:pPr>
            <w:r>
              <w:rPr>
                <w:sz w:val="21"/>
                <w:szCs w:val="21"/>
              </w:rPr>
              <w:t xml:space="preserve">GB/T 528 </w:t>
            </w:r>
            <w:r>
              <w:rPr>
                <w:rFonts w:hint="eastAsia"/>
                <w:sz w:val="21"/>
                <w:szCs w:val="21"/>
              </w:rPr>
              <w:t>硫化橡胶或热塑性橡胶拉伸应力应变性能的测定</w:t>
            </w:r>
            <w:r>
              <w:rPr>
                <w:sz w:val="21"/>
                <w:szCs w:val="21"/>
              </w:rPr>
              <w:t xml:space="preserve">           </w:t>
            </w:r>
          </w:p>
          <w:p w14:paraId="06E410E4">
            <w:pPr>
              <w:pStyle w:val="70"/>
              <w:ind w:firstLine="420"/>
              <w:rPr>
                <w:sz w:val="21"/>
                <w:szCs w:val="21"/>
              </w:rPr>
            </w:pPr>
            <w:r>
              <w:rPr>
                <w:sz w:val="21"/>
                <w:szCs w:val="21"/>
              </w:rPr>
              <w:t xml:space="preserve">GB/T 531.1 </w:t>
            </w:r>
            <w:r>
              <w:rPr>
                <w:rFonts w:hint="eastAsia"/>
                <w:sz w:val="21"/>
                <w:szCs w:val="21"/>
              </w:rPr>
              <w:t>硫化橡胶或热塑性橡胶压入硬度试验方法第</w:t>
            </w:r>
            <w:r>
              <w:rPr>
                <w:sz w:val="21"/>
                <w:szCs w:val="21"/>
              </w:rPr>
              <w:t>1</w:t>
            </w:r>
            <w:r>
              <w:rPr>
                <w:rFonts w:hint="eastAsia"/>
                <w:sz w:val="21"/>
                <w:szCs w:val="21"/>
              </w:rPr>
              <w:t>部分：邵氏硬度计法</w:t>
            </w:r>
            <w:r>
              <w:rPr>
                <w:sz w:val="21"/>
                <w:szCs w:val="21"/>
              </w:rPr>
              <w:t>(</w:t>
            </w:r>
            <w:r>
              <w:rPr>
                <w:rFonts w:hint="eastAsia"/>
                <w:sz w:val="21"/>
                <w:szCs w:val="21"/>
              </w:rPr>
              <w:t>邵尔硬度</w:t>
            </w:r>
            <w:r>
              <w:rPr>
                <w:sz w:val="21"/>
                <w:szCs w:val="21"/>
              </w:rPr>
              <w:t xml:space="preserve">) </w:t>
            </w:r>
          </w:p>
          <w:p w14:paraId="7668AF93">
            <w:pPr>
              <w:pStyle w:val="70"/>
              <w:ind w:firstLine="420"/>
              <w:rPr>
                <w:sz w:val="21"/>
                <w:szCs w:val="21"/>
              </w:rPr>
            </w:pPr>
            <w:r>
              <w:rPr>
                <w:sz w:val="21"/>
                <w:szCs w:val="21"/>
              </w:rPr>
              <w:t xml:space="preserve">GB 912 </w:t>
            </w:r>
            <w:r>
              <w:rPr>
                <w:rFonts w:hint="eastAsia"/>
                <w:sz w:val="21"/>
                <w:szCs w:val="21"/>
              </w:rPr>
              <w:t>碳素结构钢和低合金结构钢热轧薄钢板和钢带</w:t>
            </w:r>
          </w:p>
          <w:p w14:paraId="292495D0">
            <w:pPr>
              <w:pStyle w:val="70"/>
              <w:ind w:firstLine="420"/>
              <w:rPr>
                <w:sz w:val="21"/>
                <w:szCs w:val="21"/>
              </w:rPr>
            </w:pPr>
            <w:r>
              <w:rPr>
                <w:sz w:val="21"/>
                <w:szCs w:val="21"/>
              </w:rPr>
              <w:t xml:space="preserve">GB/T 2941 </w:t>
            </w:r>
            <w:r>
              <w:rPr>
                <w:rFonts w:hint="eastAsia"/>
                <w:sz w:val="21"/>
                <w:szCs w:val="21"/>
              </w:rPr>
              <w:t>橡胶物理试验方法试样制备和调节通用程序</w:t>
            </w:r>
          </w:p>
          <w:p w14:paraId="7B940654">
            <w:pPr>
              <w:pStyle w:val="70"/>
              <w:ind w:firstLine="420"/>
              <w:rPr>
                <w:sz w:val="21"/>
                <w:szCs w:val="21"/>
              </w:rPr>
            </w:pPr>
            <w:r>
              <w:rPr>
                <w:sz w:val="21"/>
                <w:szCs w:val="21"/>
              </w:rPr>
              <w:t xml:space="preserve">GB/T 3274 </w:t>
            </w:r>
            <w:r>
              <w:rPr>
                <w:rFonts w:hint="eastAsia"/>
                <w:sz w:val="21"/>
                <w:szCs w:val="21"/>
              </w:rPr>
              <w:t>碳素结构钢和低合金结构钢热轧厚钢板和钢带</w:t>
            </w:r>
          </w:p>
          <w:p w14:paraId="78C3C670">
            <w:pPr>
              <w:pStyle w:val="70"/>
              <w:ind w:firstLine="420"/>
              <w:rPr>
                <w:sz w:val="21"/>
                <w:szCs w:val="21"/>
              </w:rPr>
            </w:pPr>
            <w:r>
              <w:rPr>
                <w:sz w:val="21"/>
                <w:szCs w:val="21"/>
              </w:rPr>
              <w:t xml:space="preserve">GB/T 3512 </w:t>
            </w:r>
            <w:r>
              <w:rPr>
                <w:rFonts w:hint="eastAsia"/>
                <w:sz w:val="21"/>
                <w:szCs w:val="21"/>
              </w:rPr>
              <w:t>硫化橡胶或热塑性橡胶</w:t>
            </w:r>
            <w:r>
              <w:rPr>
                <w:sz w:val="21"/>
                <w:szCs w:val="21"/>
              </w:rPr>
              <w:t xml:space="preserve"> </w:t>
            </w:r>
            <w:r>
              <w:rPr>
                <w:rFonts w:hint="eastAsia"/>
                <w:sz w:val="21"/>
                <w:szCs w:val="21"/>
              </w:rPr>
              <w:t>热空气加速老化和耐热试验</w:t>
            </w:r>
          </w:p>
          <w:p w14:paraId="09A0B5B2">
            <w:pPr>
              <w:pStyle w:val="70"/>
              <w:ind w:firstLine="420"/>
              <w:rPr>
                <w:sz w:val="21"/>
                <w:szCs w:val="21"/>
              </w:rPr>
            </w:pPr>
            <w:r>
              <w:rPr>
                <w:sz w:val="21"/>
                <w:szCs w:val="21"/>
              </w:rPr>
              <w:t xml:space="preserve">GB/T 3672.1 </w:t>
            </w:r>
            <w:r>
              <w:rPr>
                <w:rFonts w:hint="eastAsia"/>
                <w:sz w:val="21"/>
                <w:szCs w:val="21"/>
              </w:rPr>
              <w:t>橡胶制品的公差</w:t>
            </w:r>
            <w:r>
              <w:rPr>
                <w:sz w:val="21"/>
                <w:szCs w:val="21"/>
              </w:rPr>
              <w:t xml:space="preserve"> </w:t>
            </w:r>
            <w:r>
              <w:rPr>
                <w:rFonts w:hint="eastAsia"/>
                <w:sz w:val="21"/>
                <w:szCs w:val="21"/>
              </w:rPr>
              <w:t>第</w:t>
            </w:r>
            <w:r>
              <w:rPr>
                <w:sz w:val="21"/>
                <w:szCs w:val="21"/>
              </w:rPr>
              <w:t>1</w:t>
            </w:r>
            <w:r>
              <w:rPr>
                <w:rFonts w:hint="eastAsia"/>
                <w:sz w:val="21"/>
                <w:szCs w:val="21"/>
              </w:rPr>
              <w:t>部分：尺寸公差</w:t>
            </w:r>
          </w:p>
          <w:p w14:paraId="75671CA4">
            <w:pPr>
              <w:pStyle w:val="70"/>
              <w:ind w:firstLine="420"/>
              <w:rPr>
                <w:sz w:val="21"/>
                <w:szCs w:val="21"/>
              </w:rPr>
            </w:pPr>
            <w:r>
              <w:rPr>
                <w:sz w:val="21"/>
                <w:szCs w:val="21"/>
              </w:rPr>
              <w:t xml:space="preserve">GB/T 7759.1 </w:t>
            </w:r>
            <w:r>
              <w:rPr>
                <w:rFonts w:hint="eastAsia"/>
                <w:sz w:val="21"/>
                <w:szCs w:val="21"/>
              </w:rPr>
              <w:t>硫化橡胶或热塑性橡胶</w:t>
            </w:r>
            <w:r>
              <w:rPr>
                <w:sz w:val="21"/>
                <w:szCs w:val="21"/>
              </w:rPr>
              <w:t xml:space="preserve"> </w:t>
            </w:r>
            <w:r>
              <w:rPr>
                <w:rFonts w:hint="eastAsia"/>
                <w:sz w:val="21"/>
                <w:szCs w:val="21"/>
              </w:rPr>
              <w:t>压缩永久变形的测定</w:t>
            </w:r>
            <w:r>
              <w:rPr>
                <w:sz w:val="21"/>
                <w:szCs w:val="21"/>
              </w:rPr>
              <w:t xml:space="preserve"> </w:t>
            </w:r>
            <w:r>
              <w:rPr>
                <w:rFonts w:hint="eastAsia"/>
                <w:sz w:val="21"/>
                <w:szCs w:val="21"/>
              </w:rPr>
              <w:t>第</w:t>
            </w:r>
            <w:r>
              <w:rPr>
                <w:sz w:val="21"/>
                <w:szCs w:val="21"/>
              </w:rPr>
              <w:t>1</w:t>
            </w:r>
            <w:r>
              <w:rPr>
                <w:rFonts w:hint="eastAsia"/>
                <w:sz w:val="21"/>
                <w:szCs w:val="21"/>
              </w:rPr>
              <w:t>部分：在常温及高温条件下</w:t>
            </w:r>
          </w:p>
          <w:p w14:paraId="0FC2BB83">
            <w:pPr>
              <w:pStyle w:val="70"/>
              <w:ind w:firstLine="420"/>
              <w:rPr>
                <w:sz w:val="21"/>
                <w:szCs w:val="21"/>
              </w:rPr>
            </w:pPr>
            <w:r>
              <w:rPr>
                <w:sz w:val="21"/>
                <w:szCs w:val="21"/>
              </w:rPr>
              <w:t xml:space="preserve">GB/T 7760 </w:t>
            </w:r>
            <w:r>
              <w:rPr>
                <w:rFonts w:hint="eastAsia"/>
                <w:sz w:val="21"/>
                <w:szCs w:val="21"/>
              </w:rPr>
              <w:t>硫化橡胶或热塑性橡胶与硬质板材黏合强度的测定</w:t>
            </w:r>
            <w:r>
              <w:rPr>
                <w:sz w:val="21"/>
                <w:szCs w:val="21"/>
              </w:rPr>
              <w:t>90</w:t>
            </w:r>
            <w:r>
              <w:rPr>
                <w:sz w:val="21"/>
                <w:szCs w:val="21"/>
                <w:vertAlign w:val="superscript"/>
              </w:rPr>
              <w:t>0</w:t>
            </w:r>
            <w:r>
              <w:rPr>
                <w:rFonts w:hint="eastAsia"/>
                <w:sz w:val="21"/>
                <w:szCs w:val="21"/>
              </w:rPr>
              <w:t>剥离法</w:t>
            </w:r>
          </w:p>
          <w:p w14:paraId="3CA054DA">
            <w:pPr>
              <w:pStyle w:val="70"/>
              <w:ind w:firstLine="420"/>
              <w:rPr>
                <w:sz w:val="21"/>
                <w:szCs w:val="21"/>
              </w:rPr>
            </w:pPr>
            <w:r>
              <w:rPr>
                <w:sz w:val="21"/>
                <w:szCs w:val="21"/>
              </w:rPr>
              <w:t xml:space="preserve">GB/T 7762 </w:t>
            </w:r>
            <w:r>
              <w:rPr>
                <w:rFonts w:hint="eastAsia"/>
                <w:sz w:val="21"/>
                <w:szCs w:val="21"/>
              </w:rPr>
              <w:t>硫化橡胶或热塑性橡胶</w:t>
            </w:r>
            <w:r>
              <w:rPr>
                <w:sz w:val="21"/>
                <w:szCs w:val="21"/>
              </w:rPr>
              <w:t xml:space="preserve"> </w:t>
            </w:r>
            <w:r>
              <w:rPr>
                <w:rFonts w:hint="eastAsia"/>
                <w:sz w:val="21"/>
                <w:szCs w:val="21"/>
              </w:rPr>
              <w:t>耐臭氧龟裂静态拉伸试验</w:t>
            </w:r>
          </w:p>
          <w:p w14:paraId="6DE3F4E0">
            <w:pPr>
              <w:pStyle w:val="70"/>
              <w:ind w:firstLine="420"/>
              <w:rPr>
                <w:sz w:val="21"/>
                <w:szCs w:val="21"/>
              </w:rPr>
            </w:pPr>
            <w:r>
              <w:rPr>
                <w:rFonts w:hint="eastAsia"/>
                <w:sz w:val="21"/>
                <w:szCs w:val="21"/>
              </w:rPr>
              <w:t>GB/T 9978.1 建筑构件耐火试验方法 第1部分:通用要求</w:t>
            </w:r>
          </w:p>
          <w:p w14:paraId="5D3632BB">
            <w:pPr>
              <w:pStyle w:val="70"/>
              <w:ind w:firstLine="420"/>
              <w:rPr>
                <w:sz w:val="21"/>
                <w:szCs w:val="21"/>
              </w:rPr>
            </w:pPr>
            <w:r>
              <w:rPr>
                <w:rFonts w:hint="eastAsia"/>
                <w:sz w:val="21"/>
                <w:szCs w:val="21"/>
              </w:rPr>
              <w:t xml:space="preserve">GB/T 9978.7 </w:t>
            </w:r>
            <w:r>
              <w:fldChar w:fldCharType="begin"/>
            </w:r>
            <w:r>
              <w:instrText xml:space="preserve"> HYPERLINK "https://www.baidu.com/link?url=AmvnlZhgvcHEkKNcfCgh-ZelMycxhDTltpL8ZDv2BRV_A2KdT8GQjkejB5fGcKaJa_XW2DZB3mUW3U4i5aJCFScZpVAUbFlMa2E8EuqKzcm&amp;wd=&amp;eqid=9b5be7e20012cf170000000366b46c8d" \t "https://www.baidu.com/_blank" </w:instrText>
            </w:r>
            <w:r>
              <w:fldChar w:fldCharType="separate"/>
            </w:r>
            <w:r>
              <w:rPr>
                <w:sz w:val="21"/>
                <w:szCs w:val="21"/>
              </w:rPr>
              <w:t>建筑构件耐火试验方法 第7部分</w:t>
            </w:r>
            <w:r>
              <w:rPr>
                <w:rFonts w:hint="eastAsia"/>
                <w:sz w:val="21"/>
                <w:szCs w:val="21"/>
              </w:rPr>
              <w:t>：</w:t>
            </w:r>
            <w:r>
              <w:rPr>
                <w:sz w:val="21"/>
                <w:szCs w:val="21"/>
              </w:rPr>
              <w:t>柱的特殊要求</w:t>
            </w:r>
            <w:r>
              <w:rPr>
                <w:sz w:val="21"/>
                <w:szCs w:val="21"/>
              </w:rPr>
              <w:fldChar w:fldCharType="end"/>
            </w:r>
          </w:p>
          <w:p w14:paraId="0345056E">
            <w:pPr>
              <w:pStyle w:val="70"/>
              <w:ind w:firstLine="420"/>
              <w:rPr>
                <w:sz w:val="21"/>
                <w:szCs w:val="21"/>
              </w:rPr>
            </w:pPr>
            <w:r>
              <w:rPr>
                <w:sz w:val="21"/>
                <w:szCs w:val="21"/>
              </w:rPr>
              <w:t xml:space="preserve">GB/T 15256  </w:t>
            </w:r>
            <w:r>
              <w:rPr>
                <w:rFonts w:hint="eastAsia"/>
                <w:sz w:val="21"/>
                <w:szCs w:val="21"/>
              </w:rPr>
              <w:t>硫化橡胶或热塑性橡胶低温脆性的测定</w:t>
            </w:r>
            <w:r>
              <w:rPr>
                <w:sz w:val="21"/>
                <w:szCs w:val="21"/>
              </w:rPr>
              <w:t>(</w:t>
            </w:r>
            <w:r>
              <w:rPr>
                <w:rFonts w:hint="eastAsia"/>
                <w:sz w:val="21"/>
                <w:szCs w:val="21"/>
              </w:rPr>
              <w:t>多试样法</w:t>
            </w:r>
            <w:r>
              <w:rPr>
                <w:sz w:val="21"/>
                <w:szCs w:val="21"/>
              </w:rPr>
              <w:t>)</w:t>
            </w:r>
          </w:p>
          <w:p w14:paraId="09EE0A1B">
            <w:pPr>
              <w:pStyle w:val="70"/>
              <w:ind w:firstLine="420"/>
              <w:rPr>
                <w:sz w:val="21"/>
                <w:szCs w:val="21"/>
              </w:rPr>
            </w:pPr>
            <w:r>
              <w:rPr>
                <w:rFonts w:hint="eastAsia"/>
                <w:sz w:val="21"/>
                <w:szCs w:val="21"/>
              </w:rPr>
              <w:t>GB/T 20688.1</w:t>
            </w:r>
            <w:r>
              <w:rPr>
                <w:rFonts w:hint="eastAsia"/>
                <w:sz w:val="21"/>
                <w:szCs w:val="21"/>
                <w:bdr w:val="single" w:color="auto" w:sz="4" w:space="0"/>
              </w:rPr>
              <w:t>-2007</w:t>
            </w:r>
            <w:r>
              <w:rPr>
                <w:rFonts w:hint="eastAsia"/>
                <w:sz w:val="21"/>
                <w:szCs w:val="21"/>
              </w:rPr>
              <w:t xml:space="preserve">  橡胶支座 第1部分：隔震橡胶支座试验方法</w:t>
            </w:r>
          </w:p>
          <w:p w14:paraId="0C0669AF">
            <w:pPr>
              <w:pStyle w:val="70"/>
              <w:ind w:firstLine="420"/>
              <w:rPr>
                <w:sz w:val="21"/>
                <w:szCs w:val="21"/>
              </w:rPr>
            </w:pPr>
            <w:r>
              <w:rPr>
                <w:sz w:val="21"/>
                <w:szCs w:val="21"/>
              </w:rPr>
              <w:t xml:space="preserve">HG/T 2198 </w:t>
            </w:r>
            <w:r>
              <w:rPr>
                <w:rFonts w:hint="eastAsia"/>
                <w:sz w:val="21"/>
                <w:szCs w:val="21"/>
              </w:rPr>
              <w:t>硫化橡胶物理实验方法的一般要求</w:t>
            </w:r>
          </w:p>
          <w:p w14:paraId="6D1107B3">
            <w:pPr>
              <w:pStyle w:val="70"/>
              <w:ind w:firstLine="420"/>
              <w:rPr>
                <w:sz w:val="21"/>
                <w:szCs w:val="21"/>
              </w:rPr>
            </w:pPr>
            <w:r>
              <w:rPr>
                <w:rFonts w:hint="eastAsia"/>
                <w:sz w:val="21"/>
                <w:szCs w:val="21"/>
                <w:u w:val="single"/>
              </w:rPr>
              <w:t>GB</w:t>
            </w:r>
            <w:r>
              <w:rPr>
                <w:sz w:val="21"/>
                <w:szCs w:val="21"/>
                <w:u w:val="single"/>
              </w:rPr>
              <w:t>/</w:t>
            </w:r>
            <w:r>
              <w:rPr>
                <w:rFonts w:hint="eastAsia"/>
                <w:sz w:val="21"/>
                <w:szCs w:val="21"/>
                <w:u w:val="single"/>
              </w:rPr>
              <w:t>T</w:t>
            </w:r>
            <w:r>
              <w:rPr>
                <w:sz w:val="21"/>
                <w:szCs w:val="21"/>
                <w:u w:val="single"/>
              </w:rPr>
              <w:t xml:space="preserve"> </w:t>
            </w:r>
            <w:r>
              <w:rPr>
                <w:rFonts w:hint="eastAsia"/>
                <w:sz w:val="21"/>
                <w:szCs w:val="21"/>
                <w:u w:val="single"/>
              </w:rPr>
              <w:t xml:space="preserve">51408 </w:t>
            </w:r>
            <w:r>
              <w:rPr>
                <w:sz w:val="21"/>
                <w:szCs w:val="21"/>
                <w:u w:val="single"/>
              </w:rPr>
              <w:t>建筑隔震设计标准</w:t>
            </w:r>
          </w:p>
        </w:tc>
      </w:tr>
      <w:tr w14:paraId="122E49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4B847004">
            <w:pPr>
              <w:pStyle w:val="70"/>
              <w:ind w:firstLine="482"/>
              <w:jc w:val="center"/>
              <w:rPr>
                <w:rFonts w:eastAsia="黑体"/>
                <w:b/>
                <w:kern w:val="0"/>
                <w:szCs w:val="28"/>
              </w:rPr>
            </w:pPr>
            <w:bookmarkStart w:id="5" w:name="_Toc494201299"/>
            <w:r>
              <w:rPr>
                <w:rFonts w:hint="eastAsia" w:eastAsia="黑体"/>
                <w:b/>
                <w:kern w:val="0"/>
                <w:szCs w:val="28"/>
              </w:rPr>
              <w:t>3 术语和定义、符号</w:t>
            </w:r>
            <w:bookmarkEnd w:id="5"/>
          </w:p>
        </w:tc>
        <w:tc>
          <w:tcPr>
            <w:tcW w:w="5126" w:type="dxa"/>
            <w:vAlign w:val="center"/>
          </w:tcPr>
          <w:p w14:paraId="32CA33B4">
            <w:pPr>
              <w:pStyle w:val="70"/>
              <w:ind w:firstLine="482"/>
              <w:jc w:val="center"/>
              <w:rPr>
                <w:rFonts w:eastAsia="黑体"/>
                <w:b/>
                <w:kern w:val="0"/>
                <w:szCs w:val="28"/>
              </w:rPr>
            </w:pPr>
            <w:r>
              <w:rPr>
                <w:rFonts w:hint="eastAsia" w:eastAsia="黑体"/>
                <w:b/>
                <w:kern w:val="0"/>
                <w:szCs w:val="28"/>
              </w:rPr>
              <w:t>3 术语和定义、符号</w:t>
            </w:r>
          </w:p>
        </w:tc>
      </w:tr>
      <w:tr w14:paraId="1E7DD4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14CA37D2">
            <w:pPr>
              <w:pStyle w:val="72"/>
              <w:ind w:firstLine="0" w:firstLineChars="0"/>
              <w:rPr>
                <w:rFonts w:cs="Times New Roman"/>
                <w:sz w:val="18"/>
                <w:szCs w:val="18"/>
              </w:rPr>
            </w:pPr>
            <w:r>
              <w:rPr>
                <w:sz w:val="18"/>
                <w:szCs w:val="18"/>
              </w:rPr>
              <w:t>3.1.1</w:t>
            </w:r>
          </w:p>
          <w:p w14:paraId="2CCC2079">
            <w:pPr>
              <w:pStyle w:val="70"/>
              <w:ind w:firstLine="420"/>
              <w:rPr>
                <w:rFonts w:ascii="Times New Roman" w:eastAsia="黑体"/>
                <w:b/>
                <w:bCs/>
                <w:sz w:val="21"/>
                <w:szCs w:val="20"/>
              </w:rPr>
            </w:pPr>
            <w:r>
              <w:rPr>
                <w:rFonts w:hint="eastAsia" w:ascii="Times New Roman" w:eastAsia="黑体" w:cs="黑体"/>
                <w:sz w:val="21"/>
                <w:szCs w:val="20"/>
              </w:rPr>
              <w:t xml:space="preserve">建筑隔震橡胶支座 </w:t>
            </w:r>
            <w:r>
              <w:rPr>
                <w:rFonts w:ascii="Times New Roman" w:eastAsia="黑体" w:cs="黑体"/>
                <w:sz w:val="21"/>
                <w:szCs w:val="20"/>
              </w:rPr>
              <w:t xml:space="preserve"> </w:t>
            </w:r>
            <w:r>
              <w:rPr>
                <w:rFonts w:ascii="Times New Roman" w:eastAsia="黑体"/>
                <w:b/>
                <w:bCs/>
                <w:sz w:val="21"/>
                <w:szCs w:val="20"/>
              </w:rPr>
              <w:t>rubber isolation bearings for buildings</w:t>
            </w:r>
          </w:p>
          <w:p w14:paraId="2E0689BD">
            <w:pPr>
              <w:pStyle w:val="70"/>
              <w:ind w:firstLine="420"/>
              <w:rPr>
                <w:rFonts w:eastAsia="黑体"/>
                <w:b/>
                <w:kern w:val="0"/>
                <w:szCs w:val="28"/>
              </w:rPr>
            </w:pPr>
            <w:r>
              <w:rPr>
                <w:rFonts w:hint="eastAsia" w:hAnsi="宋体"/>
                <w:sz w:val="21"/>
                <w:szCs w:val="20"/>
              </w:rPr>
              <w:t>由多层橡胶和多层钢板或其他材料交替叠置结合而成的隔震装置，</w:t>
            </w:r>
            <w:r>
              <w:rPr>
                <w:rFonts w:hAnsi="宋体"/>
                <w:sz w:val="21"/>
                <w:szCs w:val="20"/>
              </w:rPr>
              <w:t>包括天然橡胶支座（</w:t>
            </w:r>
            <w:r>
              <w:rPr>
                <w:rFonts w:hint="eastAsia" w:hAnsi="宋体"/>
                <w:sz w:val="21"/>
                <w:szCs w:val="20"/>
              </w:rPr>
              <w:t>LNR</w:t>
            </w:r>
            <w:r>
              <w:rPr>
                <w:rFonts w:hAnsi="宋体"/>
                <w:sz w:val="21"/>
                <w:szCs w:val="20"/>
              </w:rPr>
              <w:t>）</w:t>
            </w:r>
            <w:r>
              <w:rPr>
                <w:rFonts w:hint="eastAsia" w:hAnsi="宋体"/>
                <w:sz w:val="21"/>
                <w:szCs w:val="20"/>
              </w:rPr>
              <w:t>、</w:t>
            </w:r>
            <w:r>
              <w:rPr>
                <w:rFonts w:hAnsi="宋体"/>
                <w:sz w:val="21"/>
                <w:szCs w:val="20"/>
              </w:rPr>
              <w:t>铅芯橡胶支座（</w:t>
            </w:r>
            <w:r>
              <w:rPr>
                <w:rFonts w:hint="eastAsia" w:hAnsi="宋体"/>
                <w:sz w:val="21"/>
                <w:szCs w:val="20"/>
              </w:rPr>
              <w:t>LRB</w:t>
            </w:r>
            <w:r>
              <w:rPr>
                <w:rFonts w:hAnsi="宋体"/>
                <w:sz w:val="21"/>
                <w:szCs w:val="20"/>
              </w:rPr>
              <w:t>）</w:t>
            </w:r>
            <w:r>
              <w:rPr>
                <w:rFonts w:hint="eastAsia" w:hAnsi="宋体"/>
                <w:sz w:val="21"/>
                <w:szCs w:val="20"/>
              </w:rPr>
              <w:t>和</w:t>
            </w:r>
            <w:r>
              <w:rPr>
                <w:rFonts w:hAnsi="宋体"/>
                <w:sz w:val="21"/>
                <w:szCs w:val="20"/>
              </w:rPr>
              <w:t>高阻尼橡胶支座（</w:t>
            </w:r>
            <w:r>
              <w:rPr>
                <w:rFonts w:hint="eastAsia" w:hAnsi="宋体"/>
                <w:sz w:val="21"/>
                <w:szCs w:val="20"/>
              </w:rPr>
              <w:t>HDR</w:t>
            </w:r>
            <w:r>
              <w:rPr>
                <w:rFonts w:hAnsi="宋体"/>
                <w:sz w:val="21"/>
                <w:szCs w:val="20"/>
              </w:rPr>
              <w:t>）</w:t>
            </w:r>
            <w:r>
              <w:rPr>
                <w:rFonts w:hint="eastAsia" w:hAnsi="宋体"/>
                <w:sz w:val="21"/>
                <w:szCs w:val="20"/>
              </w:rPr>
              <w:t>。</w:t>
            </w:r>
          </w:p>
        </w:tc>
        <w:tc>
          <w:tcPr>
            <w:tcW w:w="5126" w:type="dxa"/>
            <w:vAlign w:val="center"/>
          </w:tcPr>
          <w:p w14:paraId="4BDEF1F3">
            <w:pPr>
              <w:pStyle w:val="72"/>
              <w:ind w:firstLine="0" w:firstLineChars="0"/>
              <w:rPr>
                <w:rFonts w:cs="Times New Roman"/>
                <w:sz w:val="18"/>
                <w:szCs w:val="18"/>
              </w:rPr>
            </w:pPr>
            <w:r>
              <w:rPr>
                <w:sz w:val="18"/>
                <w:szCs w:val="18"/>
              </w:rPr>
              <w:t>3.1.1</w:t>
            </w:r>
          </w:p>
          <w:p w14:paraId="42F4CC65">
            <w:pPr>
              <w:pStyle w:val="70"/>
              <w:ind w:firstLine="420"/>
              <w:rPr>
                <w:rFonts w:ascii="Times New Roman" w:eastAsia="黑体"/>
                <w:b/>
                <w:bCs/>
                <w:sz w:val="21"/>
                <w:szCs w:val="20"/>
              </w:rPr>
            </w:pPr>
            <w:r>
              <w:rPr>
                <w:rFonts w:hint="eastAsia" w:ascii="Times New Roman" w:eastAsia="黑体" w:cs="黑体"/>
                <w:sz w:val="21"/>
                <w:szCs w:val="20"/>
              </w:rPr>
              <w:t xml:space="preserve">建筑隔震橡胶支座 </w:t>
            </w:r>
            <w:r>
              <w:rPr>
                <w:rFonts w:ascii="Times New Roman" w:eastAsia="黑体" w:cs="黑体"/>
                <w:sz w:val="21"/>
                <w:szCs w:val="20"/>
              </w:rPr>
              <w:t xml:space="preserve"> </w:t>
            </w:r>
            <w:r>
              <w:rPr>
                <w:rFonts w:ascii="Times New Roman" w:eastAsia="黑体"/>
                <w:b/>
                <w:bCs/>
                <w:sz w:val="21"/>
                <w:szCs w:val="20"/>
              </w:rPr>
              <w:t>rubber isolation bearings for buildings</w:t>
            </w:r>
          </w:p>
          <w:p w14:paraId="445225B8">
            <w:pPr>
              <w:pStyle w:val="70"/>
              <w:ind w:firstLine="420"/>
              <w:rPr>
                <w:rFonts w:eastAsia="黑体"/>
                <w:b/>
                <w:kern w:val="0"/>
                <w:szCs w:val="28"/>
              </w:rPr>
            </w:pPr>
            <w:r>
              <w:rPr>
                <w:rFonts w:hint="eastAsia" w:hAnsi="宋体"/>
                <w:sz w:val="21"/>
                <w:szCs w:val="20"/>
              </w:rPr>
              <w:t>由多层橡胶和多层钢板</w:t>
            </w:r>
            <w:r>
              <w:rPr>
                <w:rFonts w:hint="eastAsia" w:hAnsi="宋体"/>
                <w:sz w:val="21"/>
                <w:szCs w:val="20"/>
                <w:bdr w:val="single" w:color="auto" w:sz="4" w:space="0"/>
              </w:rPr>
              <w:t>或其他材料</w:t>
            </w:r>
            <w:r>
              <w:rPr>
                <w:rFonts w:hint="eastAsia" w:hAnsi="宋体"/>
                <w:sz w:val="21"/>
                <w:szCs w:val="20"/>
              </w:rPr>
              <w:t>交替叠置结合而成的隔震装置，</w:t>
            </w:r>
            <w:r>
              <w:rPr>
                <w:rFonts w:hAnsi="宋体"/>
                <w:sz w:val="21"/>
                <w:szCs w:val="20"/>
              </w:rPr>
              <w:t>包括天然橡胶支座（</w:t>
            </w:r>
            <w:r>
              <w:rPr>
                <w:rFonts w:hint="eastAsia" w:hAnsi="宋体"/>
                <w:sz w:val="21"/>
                <w:szCs w:val="20"/>
              </w:rPr>
              <w:t>LNR</w:t>
            </w:r>
            <w:r>
              <w:rPr>
                <w:rFonts w:hAnsi="宋体"/>
                <w:sz w:val="21"/>
                <w:szCs w:val="20"/>
              </w:rPr>
              <w:t>）</w:t>
            </w:r>
            <w:r>
              <w:rPr>
                <w:rFonts w:hint="eastAsia" w:hAnsi="宋体"/>
                <w:sz w:val="21"/>
                <w:szCs w:val="20"/>
              </w:rPr>
              <w:t>、</w:t>
            </w:r>
            <w:r>
              <w:rPr>
                <w:rFonts w:hAnsi="宋体"/>
                <w:sz w:val="21"/>
                <w:szCs w:val="20"/>
              </w:rPr>
              <w:t>铅芯橡胶支座（</w:t>
            </w:r>
            <w:r>
              <w:rPr>
                <w:rFonts w:hint="eastAsia" w:hAnsi="宋体"/>
                <w:sz w:val="21"/>
                <w:szCs w:val="20"/>
              </w:rPr>
              <w:t>LRB</w:t>
            </w:r>
            <w:r>
              <w:rPr>
                <w:rFonts w:hAnsi="宋体"/>
                <w:sz w:val="21"/>
                <w:szCs w:val="20"/>
              </w:rPr>
              <w:t>）</w:t>
            </w:r>
            <w:r>
              <w:rPr>
                <w:rFonts w:hint="eastAsia" w:hAnsi="宋体"/>
                <w:sz w:val="21"/>
                <w:szCs w:val="20"/>
              </w:rPr>
              <w:t>和</w:t>
            </w:r>
            <w:r>
              <w:rPr>
                <w:rFonts w:hAnsi="宋体"/>
                <w:sz w:val="21"/>
                <w:szCs w:val="20"/>
              </w:rPr>
              <w:t>高阻尼橡胶支座（</w:t>
            </w:r>
            <w:r>
              <w:rPr>
                <w:rFonts w:hint="eastAsia" w:hAnsi="宋体"/>
                <w:sz w:val="21"/>
                <w:szCs w:val="20"/>
              </w:rPr>
              <w:t>HDR</w:t>
            </w:r>
            <w:r>
              <w:rPr>
                <w:rFonts w:hAnsi="宋体"/>
                <w:sz w:val="21"/>
                <w:szCs w:val="20"/>
              </w:rPr>
              <w:t>）</w:t>
            </w:r>
            <w:r>
              <w:rPr>
                <w:rFonts w:hint="eastAsia" w:hAnsi="宋体"/>
                <w:sz w:val="21"/>
                <w:szCs w:val="20"/>
              </w:rPr>
              <w:t>。</w:t>
            </w:r>
          </w:p>
        </w:tc>
      </w:tr>
      <w:tr w14:paraId="6984EE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5C470469">
            <w:pPr>
              <w:pStyle w:val="70"/>
              <w:spacing w:before="161" w:beforeLines="50"/>
              <w:ind w:firstLine="0" w:firstLineChars="0"/>
              <w:rPr>
                <w:rFonts w:hint="eastAsia" w:ascii="黑体" w:hAnsi="黑体" w:eastAsia="黑体" w:cs="黑体"/>
                <w:kern w:val="0"/>
                <w:sz w:val="21"/>
                <w:szCs w:val="21"/>
              </w:rPr>
            </w:pPr>
            <w:r>
              <w:rPr>
                <w:rFonts w:ascii="黑体" w:hAnsi="黑体" w:eastAsia="黑体" w:cs="黑体"/>
                <w:kern w:val="0"/>
                <w:sz w:val="21"/>
                <w:szCs w:val="21"/>
              </w:rPr>
              <w:t>3.1.3</w:t>
            </w:r>
            <w:r>
              <w:rPr>
                <w:rFonts w:hint="eastAsia" w:ascii="黑体" w:hAnsi="黑体" w:eastAsia="黑体" w:cs="黑体"/>
                <w:kern w:val="0"/>
                <w:sz w:val="21"/>
                <w:szCs w:val="21"/>
              </w:rPr>
              <w:t xml:space="preserve"> </w:t>
            </w:r>
          </w:p>
          <w:p w14:paraId="2B8119F2">
            <w:pPr>
              <w:snapToGrid w:val="0"/>
              <w:spacing w:line="360" w:lineRule="auto"/>
              <w:ind w:firstLine="420" w:firstLineChars="200"/>
              <w:jc w:val="left"/>
              <w:rPr>
                <w:b/>
                <w:bCs/>
              </w:rPr>
            </w:pPr>
            <w:r>
              <w:rPr>
                <w:rFonts w:ascii="黑体" w:hAnsi="黑体" w:eastAsia="黑体" w:cs="黑体"/>
                <w:kern w:val="0"/>
              </w:rPr>
              <w:t>天然橡胶支座</w:t>
            </w:r>
            <w:r>
              <w:t xml:space="preserve">（LNR）  </w:t>
            </w:r>
            <w:r>
              <w:rPr>
                <w:b/>
                <w:bCs/>
              </w:rPr>
              <w:t>linear natural rubber bearing</w:t>
            </w:r>
          </w:p>
          <w:p w14:paraId="12CD1EAD">
            <w:pPr>
              <w:snapToGrid w:val="0"/>
              <w:spacing w:line="360" w:lineRule="auto"/>
              <w:ind w:firstLine="420" w:firstLineChars="200"/>
              <w:jc w:val="left"/>
              <w:rPr>
                <w:b/>
                <w:bCs/>
              </w:rPr>
            </w:pPr>
            <w:r>
              <w:rPr>
                <w:rFonts w:hint="eastAsia"/>
              </w:rPr>
              <w:t>内部无竖向铅芯，由多层天然橡胶和多层钢板或其他材料交替叠置结合而成的支座。</w:t>
            </w:r>
          </w:p>
        </w:tc>
        <w:tc>
          <w:tcPr>
            <w:tcW w:w="5126" w:type="dxa"/>
            <w:vAlign w:val="center"/>
          </w:tcPr>
          <w:p w14:paraId="621E8A71">
            <w:pPr>
              <w:pStyle w:val="70"/>
              <w:spacing w:before="161" w:beforeLines="50"/>
              <w:ind w:firstLine="0" w:firstLineChars="0"/>
              <w:rPr>
                <w:rFonts w:hint="eastAsia" w:ascii="黑体" w:hAnsi="黑体" w:eastAsia="黑体" w:cs="黑体"/>
                <w:kern w:val="0"/>
                <w:sz w:val="21"/>
                <w:szCs w:val="21"/>
              </w:rPr>
            </w:pPr>
            <w:r>
              <w:rPr>
                <w:rFonts w:ascii="黑体" w:hAnsi="黑体" w:eastAsia="黑体" w:cs="黑体"/>
                <w:kern w:val="0"/>
                <w:sz w:val="21"/>
                <w:szCs w:val="21"/>
              </w:rPr>
              <w:t>3.1.3</w:t>
            </w:r>
            <w:r>
              <w:rPr>
                <w:rFonts w:hint="eastAsia" w:ascii="黑体" w:hAnsi="黑体" w:eastAsia="黑体" w:cs="黑体"/>
                <w:kern w:val="0"/>
                <w:sz w:val="21"/>
                <w:szCs w:val="21"/>
              </w:rPr>
              <w:t xml:space="preserve"> </w:t>
            </w:r>
          </w:p>
          <w:p w14:paraId="48B208B6">
            <w:pPr>
              <w:snapToGrid w:val="0"/>
              <w:spacing w:line="360" w:lineRule="auto"/>
              <w:ind w:firstLine="420" w:firstLineChars="200"/>
              <w:jc w:val="left"/>
              <w:rPr>
                <w:b/>
                <w:bCs/>
              </w:rPr>
            </w:pPr>
            <w:r>
              <w:rPr>
                <w:rFonts w:ascii="黑体" w:hAnsi="黑体" w:eastAsia="黑体" w:cs="黑体"/>
                <w:kern w:val="0"/>
              </w:rPr>
              <w:t>天然橡胶支座</w:t>
            </w:r>
            <w:r>
              <w:t xml:space="preserve">（LNR）  </w:t>
            </w:r>
            <w:r>
              <w:rPr>
                <w:b/>
                <w:bCs/>
              </w:rPr>
              <w:t>linear natural rubber bearing</w:t>
            </w:r>
          </w:p>
          <w:p w14:paraId="71050B07">
            <w:pPr>
              <w:pStyle w:val="70"/>
              <w:ind w:firstLine="420"/>
              <w:jc w:val="left"/>
              <w:rPr>
                <w:rFonts w:eastAsia="黑体"/>
                <w:b/>
                <w:kern w:val="0"/>
                <w:szCs w:val="28"/>
              </w:rPr>
            </w:pPr>
            <w:r>
              <w:rPr>
                <w:rFonts w:hint="eastAsia"/>
                <w:sz w:val="21"/>
                <w:szCs w:val="21"/>
              </w:rPr>
              <w:t>内部无竖向铅芯，由多层天然橡胶和多层钢板</w:t>
            </w:r>
            <w:r>
              <w:rPr>
                <w:rFonts w:hint="eastAsia" w:hAnsi="宋体"/>
                <w:sz w:val="21"/>
                <w:szCs w:val="20"/>
                <w:bdr w:val="single" w:color="auto" w:sz="4" w:space="0"/>
              </w:rPr>
              <w:t>或其他材料</w:t>
            </w:r>
            <w:r>
              <w:rPr>
                <w:rFonts w:hint="eastAsia"/>
                <w:sz w:val="21"/>
                <w:szCs w:val="21"/>
              </w:rPr>
              <w:t>交替叠置结合而成的支座。</w:t>
            </w:r>
          </w:p>
        </w:tc>
      </w:tr>
      <w:tr w14:paraId="120E0B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2BB9A2D5">
            <w:pPr>
              <w:pStyle w:val="70"/>
              <w:ind w:firstLine="0" w:firstLineChars="0"/>
              <w:rPr>
                <w:rFonts w:hint="eastAsia" w:hAnsi="宋体"/>
                <w:sz w:val="21"/>
                <w:szCs w:val="20"/>
              </w:rPr>
            </w:pPr>
            <w:r>
              <w:rPr>
                <w:rFonts w:hAnsi="宋体"/>
                <w:sz w:val="21"/>
                <w:szCs w:val="20"/>
              </w:rPr>
              <w:t>3.1.4</w:t>
            </w:r>
          </w:p>
          <w:p w14:paraId="0BA88393">
            <w:pPr>
              <w:pStyle w:val="70"/>
              <w:ind w:firstLine="420"/>
              <w:rPr>
                <w:rFonts w:ascii="Times New Roman" w:eastAsia="黑体"/>
                <w:b/>
                <w:bCs/>
                <w:sz w:val="21"/>
                <w:szCs w:val="20"/>
              </w:rPr>
            </w:pPr>
            <w:r>
              <w:rPr>
                <w:rFonts w:hint="eastAsia" w:ascii="Times New Roman" w:eastAsia="黑体" w:cs="黑体"/>
                <w:sz w:val="21"/>
                <w:szCs w:val="20"/>
              </w:rPr>
              <w:t>铅芯橡胶支座（LRB）</w:t>
            </w:r>
            <w:r>
              <w:rPr>
                <w:rFonts w:ascii="Times New Roman" w:eastAsia="黑体"/>
                <w:sz w:val="21"/>
                <w:szCs w:val="20"/>
              </w:rPr>
              <w:t xml:space="preserve">  </w:t>
            </w:r>
            <w:r>
              <w:rPr>
                <w:rFonts w:ascii="Times New Roman" w:eastAsia="黑体"/>
                <w:b/>
                <w:bCs/>
                <w:sz w:val="21"/>
                <w:szCs w:val="20"/>
              </w:rPr>
              <w:t>lead rubber bearing</w:t>
            </w:r>
          </w:p>
          <w:p w14:paraId="5ACC48BC">
            <w:pPr>
              <w:snapToGrid w:val="0"/>
              <w:spacing w:line="360" w:lineRule="auto"/>
              <w:ind w:firstLine="420" w:firstLineChars="200"/>
              <w:jc w:val="left"/>
            </w:pPr>
            <w:r>
              <w:rPr>
                <w:rFonts w:hint="eastAsia" w:hAnsi="宋体"/>
              </w:rPr>
              <w:t>内部含有竖向铅芯，由</w:t>
            </w:r>
            <w:r>
              <w:rPr>
                <w:rFonts w:hAnsi="宋体"/>
              </w:rPr>
              <w:t>多层</w:t>
            </w:r>
            <w:r>
              <w:rPr>
                <w:rFonts w:hint="eastAsia" w:hAnsi="宋体"/>
              </w:rPr>
              <w:t>天然橡胶和</w:t>
            </w:r>
            <w:r>
              <w:rPr>
                <w:rFonts w:hAnsi="宋体"/>
              </w:rPr>
              <w:t>多层钢板或其他材料</w:t>
            </w:r>
            <w:r>
              <w:rPr>
                <w:rFonts w:hint="eastAsia" w:hAnsi="宋体"/>
              </w:rPr>
              <w:t>交替叠置结合而成的支座。</w:t>
            </w:r>
          </w:p>
        </w:tc>
        <w:tc>
          <w:tcPr>
            <w:tcW w:w="5126" w:type="dxa"/>
            <w:vAlign w:val="center"/>
          </w:tcPr>
          <w:p w14:paraId="6A0F4630">
            <w:pPr>
              <w:pStyle w:val="70"/>
              <w:ind w:firstLine="0" w:firstLineChars="0"/>
              <w:rPr>
                <w:rFonts w:hint="eastAsia" w:hAnsi="宋体"/>
                <w:sz w:val="21"/>
                <w:szCs w:val="20"/>
              </w:rPr>
            </w:pPr>
            <w:r>
              <w:rPr>
                <w:rFonts w:hAnsi="宋体"/>
                <w:sz w:val="21"/>
                <w:szCs w:val="20"/>
              </w:rPr>
              <w:t>3.1.4</w:t>
            </w:r>
          </w:p>
          <w:p w14:paraId="67047CDF">
            <w:pPr>
              <w:pStyle w:val="70"/>
              <w:ind w:firstLine="420"/>
              <w:rPr>
                <w:rFonts w:ascii="Times New Roman" w:eastAsia="黑体"/>
                <w:b/>
                <w:bCs/>
                <w:sz w:val="21"/>
                <w:szCs w:val="20"/>
              </w:rPr>
            </w:pPr>
            <w:r>
              <w:rPr>
                <w:rFonts w:hint="eastAsia" w:ascii="Times New Roman" w:eastAsia="黑体" w:cs="黑体"/>
                <w:sz w:val="21"/>
                <w:szCs w:val="20"/>
              </w:rPr>
              <w:t>铅芯橡胶支座（LRB）</w:t>
            </w:r>
            <w:r>
              <w:rPr>
                <w:rFonts w:ascii="Times New Roman" w:eastAsia="黑体"/>
                <w:sz w:val="21"/>
                <w:szCs w:val="20"/>
              </w:rPr>
              <w:t xml:space="preserve">  </w:t>
            </w:r>
            <w:r>
              <w:rPr>
                <w:rFonts w:ascii="Times New Roman" w:eastAsia="黑体"/>
                <w:b/>
                <w:bCs/>
                <w:sz w:val="21"/>
                <w:szCs w:val="20"/>
              </w:rPr>
              <w:t>lead rubber bearing</w:t>
            </w:r>
          </w:p>
          <w:p w14:paraId="32376442">
            <w:pPr>
              <w:pStyle w:val="70"/>
              <w:ind w:firstLine="420"/>
              <w:jc w:val="left"/>
              <w:rPr>
                <w:sz w:val="21"/>
                <w:szCs w:val="21"/>
              </w:rPr>
            </w:pPr>
            <w:r>
              <w:rPr>
                <w:rFonts w:hint="eastAsia" w:hAnsi="宋体"/>
                <w:sz w:val="21"/>
                <w:szCs w:val="20"/>
              </w:rPr>
              <w:t>内部含有竖向铅芯，由</w:t>
            </w:r>
            <w:r>
              <w:rPr>
                <w:rFonts w:hAnsi="宋体"/>
                <w:sz w:val="21"/>
                <w:szCs w:val="20"/>
              </w:rPr>
              <w:t>多层</w:t>
            </w:r>
            <w:r>
              <w:rPr>
                <w:rFonts w:hint="eastAsia" w:hAnsi="宋体"/>
                <w:sz w:val="21"/>
                <w:szCs w:val="20"/>
              </w:rPr>
              <w:t>天然橡胶和</w:t>
            </w:r>
            <w:r>
              <w:rPr>
                <w:rFonts w:hAnsi="宋体"/>
                <w:sz w:val="21"/>
                <w:szCs w:val="20"/>
              </w:rPr>
              <w:t>多层钢板</w:t>
            </w:r>
            <w:r>
              <w:rPr>
                <w:rFonts w:hint="eastAsia" w:hAnsi="宋体"/>
                <w:sz w:val="21"/>
                <w:szCs w:val="20"/>
                <w:bdr w:val="single" w:color="auto" w:sz="4" w:space="0"/>
              </w:rPr>
              <w:t>或其他材料</w:t>
            </w:r>
            <w:r>
              <w:rPr>
                <w:rFonts w:hint="eastAsia" w:hAnsi="宋体"/>
                <w:sz w:val="21"/>
                <w:szCs w:val="20"/>
              </w:rPr>
              <w:t>交替叠置结合而成的支座。</w:t>
            </w:r>
          </w:p>
        </w:tc>
      </w:tr>
      <w:tr w14:paraId="56D30B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3FD71BB8">
            <w:pPr>
              <w:pStyle w:val="70"/>
              <w:ind w:firstLine="0" w:firstLineChars="0"/>
              <w:rPr>
                <w:rFonts w:hint="eastAsia" w:hAnsi="宋体"/>
                <w:sz w:val="21"/>
                <w:szCs w:val="20"/>
              </w:rPr>
            </w:pPr>
            <w:r>
              <w:rPr>
                <w:rFonts w:hAnsi="宋体"/>
                <w:sz w:val="21"/>
                <w:szCs w:val="20"/>
              </w:rPr>
              <w:t>3.1.5</w:t>
            </w:r>
          </w:p>
          <w:p w14:paraId="3A4F4460">
            <w:pPr>
              <w:pStyle w:val="70"/>
              <w:ind w:firstLine="420"/>
              <w:rPr>
                <w:rFonts w:ascii="Times New Roman" w:eastAsia="黑体"/>
                <w:b/>
                <w:bCs/>
                <w:sz w:val="21"/>
                <w:szCs w:val="20"/>
              </w:rPr>
            </w:pPr>
            <w:r>
              <w:rPr>
                <w:rFonts w:hint="eastAsia" w:ascii="Times New Roman" w:eastAsia="黑体" w:cs="黑体"/>
                <w:sz w:val="21"/>
                <w:szCs w:val="20"/>
              </w:rPr>
              <w:t>高阻尼橡胶支座（HDR）</w:t>
            </w:r>
            <w:r>
              <w:rPr>
                <w:rFonts w:ascii="Times New Roman" w:eastAsia="黑体"/>
                <w:sz w:val="21"/>
                <w:szCs w:val="20"/>
              </w:rPr>
              <w:t xml:space="preserve">  </w:t>
            </w:r>
            <w:r>
              <w:rPr>
                <w:rFonts w:ascii="Times New Roman" w:eastAsia="黑体"/>
                <w:b/>
                <w:bCs/>
                <w:sz w:val="21"/>
                <w:szCs w:val="20"/>
              </w:rPr>
              <w:t>high damping rubber bearing</w:t>
            </w:r>
          </w:p>
          <w:p w14:paraId="0DFEEB3F">
            <w:pPr>
              <w:snapToGrid w:val="0"/>
              <w:spacing w:line="360" w:lineRule="auto"/>
              <w:ind w:firstLine="400" w:firstLineChars="200"/>
              <w:jc w:val="left"/>
              <w:rPr>
                <w:rFonts w:hint="eastAsia" w:hAnsi="宋体"/>
              </w:rPr>
            </w:pPr>
            <w:r>
              <w:rPr>
                <w:rFonts w:hint="eastAsia" w:hAnsi="宋体"/>
                <w:sz w:val="20"/>
                <w:szCs w:val="20"/>
              </w:rPr>
              <w:t>用复合橡胶制成的具有较高阻尼性能的支座。</w:t>
            </w:r>
          </w:p>
        </w:tc>
        <w:tc>
          <w:tcPr>
            <w:tcW w:w="5126" w:type="dxa"/>
            <w:vAlign w:val="center"/>
          </w:tcPr>
          <w:p w14:paraId="07939799">
            <w:pPr>
              <w:pStyle w:val="70"/>
              <w:ind w:firstLine="0" w:firstLineChars="0"/>
              <w:rPr>
                <w:rFonts w:hint="eastAsia" w:hAnsi="宋体"/>
                <w:sz w:val="21"/>
                <w:szCs w:val="20"/>
              </w:rPr>
            </w:pPr>
            <w:r>
              <w:rPr>
                <w:rFonts w:hAnsi="宋体"/>
                <w:sz w:val="21"/>
                <w:szCs w:val="20"/>
              </w:rPr>
              <w:t>3.1.5</w:t>
            </w:r>
          </w:p>
          <w:p w14:paraId="442B758A">
            <w:pPr>
              <w:pStyle w:val="70"/>
              <w:ind w:firstLine="420"/>
              <w:rPr>
                <w:rFonts w:ascii="Times New Roman" w:eastAsia="黑体"/>
                <w:b/>
                <w:bCs/>
                <w:sz w:val="21"/>
                <w:szCs w:val="20"/>
              </w:rPr>
            </w:pPr>
            <w:r>
              <w:rPr>
                <w:rFonts w:hint="eastAsia" w:ascii="Times New Roman" w:eastAsia="黑体" w:cs="黑体"/>
                <w:sz w:val="21"/>
                <w:szCs w:val="20"/>
              </w:rPr>
              <w:t>高阻尼橡胶支座（HDR）</w:t>
            </w:r>
            <w:r>
              <w:rPr>
                <w:rFonts w:ascii="Times New Roman" w:eastAsia="黑体"/>
                <w:sz w:val="21"/>
                <w:szCs w:val="20"/>
              </w:rPr>
              <w:t xml:space="preserve">  </w:t>
            </w:r>
            <w:r>
              <w:rPr>
                <w:rFonts w:ascii="Times New Roman" w:eastAsia="黑体"/>
                <w:b/>
                <w:bCs/>
                <w:sz w:val="21"/>
                <w:szCs w:val="20"/>
              </w:rPr>
              <w:t>high damping rubber bearing</w:t>
            </w:r>
          </w:p>
          <w:p w14:paraId="5249085F">
            <w:pPr>
              <w:pStyle w:val="70"/>
              <w:ind w:firstLine="420"/>
              <w:jc w:val="left"/>
              <w:rPr>
                <w:rFonts w:hint="eastAsia" w:hAnsi="宋体"/>
                <w:sz w:val="21"/>
                <w:szCs w:val="20"/>
              </w:rPr>
            </w:pPr>
            <w:r>
              <w:rPr>
                <w:rFonts w:hint="eastAsia" w:hAnsi="宋体"/>
                <w:sz w:val="21"/>
                <w:szCs w:val="20"/>
                <w:bdr w:val="single" w:color="auto" w:sz="4" w:space="0"/>
              </w:rPr>
              <w:t>用复合橡胶制成</w:t>
            </w:r>
            <w:r>
              <w:rPr>
                <w:rFonts w:hint="eastAsia"/>
                <w:sz w:val="21"/>
                <w:szCs w:val="21"/>
                <w:u w:val="single"/>
              </w:rPr>
              <w:t>由多层橡胶和多层钢板交替叠置结合而成</w:t>
            </w:r>
            <w:r>
              <w:rPr>
                <w:rFonts w:hint="eastAsia" w:hAnsi="宋体"/>
                <w:sz w:val="18"/>
                <w:szCs w:val="18"/>
              </w:rPr>
              <w:t>的具有较高阻尼性能的支座。</w:t>
            </w:r>
          </w:p>
        </w:tc>
      </w:tr>
      <w:tr w14:paraId="41C80C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79601E40">
            <w:pPr>
              <w:pStyle w:val="70"/>
              <w:ind w:firstLine="0" w:firstLineChars="0"/>
              <w:rPr>
                <w:rFonts w:hint="eastAsia" w:hAnsi="宋体"/>
                <w:sz w:val="21"/>
                <w:szCs w:val="20"/>
              </w:rPr>
            </w:pPr>
            <w:r>
              <w:rPr>
                <w:rFonts w:hAnsi="宋体"/>
                <w:sz w:val="21"/>
                <w:szCs w:val="20"/>
              </w:rPr>
              <w:t>3.1.8</w:t>
            </w:r>
          </w:p>
          <w:p w14:paraId="77756ED7">
            <w:pPr>
              <w:pStyle w:val="70"/>
              <w:ind w:firstLine="420"/>
              <w:rPr>
                <w:rFonts w:ascii="Times New Roman" w:eastAsia="黑体"/>
                <w:b/>
                <w:bCs/>
                <w:sz w:val="21"/>
                <w:szCs w:val="20"/>
              </w:rPr>
            </w:pPr>
            <w:r>
              <w:rPr>
                <w:rFonts w:hint="eastAsia" w:ascii="Times New Roman" w:eastAsia="黑体" w:cs="黑体"/>
                <w:sz w:val="21"/>
                <w:szCs w:val="20"/>
              </w:rPr>
              <w:t xml:space="preserve">第一形状系数  </w:t>
            </w:r>
            <w:r>
              <w:rPr>
                <w:rFonts w:ascii="Times New Roman" w:eastAsia="黑体"/>
                <w:b/>
                <w:bCs/>
                <w:sz w:val="21"/>
                <w:szCs w:val="20"/>
              </w:rPr>
              <w:t>1st shape factor</w:t>
            </w:r>
          </w:p>
          <w:p w14:paraId="6F2A1607">
            <w:pPr>
              <w:snapToGrid w:val="0"/>
              <w:spacing w:line="360" w:lineRule="auto"/>
              <w:ind w:firstLine="420" w:firstLineChars="200"/>
              <w:jc w:val="left"/>
              <w:rPr>
                <w:rFonts w:hint="eastAsia" w:hAnsi="宋体"/>
                <w:sz w:val="20"/>
                <w:szCs w:val="20"/>
              </w:rPr>
            </w:pPr>
            <w:r>
              <w:rPr>
                <w:rFonts w:hint="eastAsia" w:hAnsi="宋体"/>
              </w:rPr>
              <w:t>支座中单层橡胶层的内部</w:t>
            </w:r>
            <w:r>
              <w:rPr>
                <w:rFonts w:hAnsi="宋体"/>
              </w:rPr>
              <w:t>橡胶的平面面积</w:t>
            </w:r>
            <w:r>
              <w:rPr>
                <w:rFonts w:hint="eastAsia" w:hAnsi="宋体"/>
              </w:rPr>
              <w:t>与其自由侧面表面积之比。</w:t>
            </w:r>
          </w:p>
        </w:tc>
        <w:tc>
          <w:tcPr>
            <w:tcW w:w="5126" w:type="dxa"/>
            <w:vAlign w:val="center"/>
          </w:tcPr>
          <w:p w14:paraId="3C9C0859">
            <w:pPr>
              <w:pStyle w:val="70"/>
              <w:ind w:firstLine="0" w:firstLineChars="0"/>
              <w:rPr>
                <w:rFonts w:hint="eastAsia" w:hAnsi="宋体"/>
                <w:sz w:val="21"/>
                <w:szCs w:val="20"/>
              </w:rPr>
            </w:pPr>
            <w:r>
              <w:rPr>
                <w:rFonts w:hAnsi="宋体"/>
                <w:sz w:val="21"/>
                <w:szCs w:val="20"/>
              </w:rPr>
              <w:t>3.1.8</w:t>
            </w:r>
          </w:p>
          <w:p w14:paraId="48F91746">
            <w:pPr>
              <w:pStyle w:val="70"/>
              <w:ind w:firstLine="420"/>
              <w:rPr>
                <w:rFonts w:ascii="Times New Roman" w:eastAsia="黑体"/>
                <w:b/>
                <w:bCs/>
                <w:sz w:val="21"/>
                <w:szCs w:val="20"/>
              </w:rPr>
            </w:pPr>
            <w:r>
              <w:rPr>
                <w:rFonts w:hint="eastAsia" w:ascii="Times New Roman" w:eastAsia="黑体" w:cs="黑体"/>
                <w:sz w:val="21"/>
                <w:szCs w:val="20"/>
              </w:rPr>
              <w:t xml:space="preserve">第一形状系数  </w:t>
            </w:r>
            <w:r>
              <w:rPr>
                <w:rFonts w:ascii="Times New Roman" w:eastAsia="黑体"/>
                <w:b/>
                <w:bCs/>
                <w:sz w:val="21"/>
                <w:szCs w:val="20"/>
              </w:rPr>
              <w:t>1st shape factor</w:t>
            </w:r>
          </w:p>
          <w:p w14:paraId="16FEA336">
            <w:pPr>
              <w:pStyle w:val="70"/>
              <w:ind w:firstLine="420"/>
              <w:jc w:val="left"/>
              <w:rPr>
                <w:rFonts w:hint="eastAsia" w:hAnsi="宋体"/>
                <w:sz w:val="21"/>
                <w:szCs w:val="20"/>
                <w:bdr w:val="single" w:color="auto" w:sz="4" w:space="0"/>
              </w:rPr>
            </w:pPr>
            <w:r>
              <w:rPr>
                <w:rFonts w:hint="eastAsia" w:hAnsi="宋体"/>
                <w:sz w:val="21"/>
                <w:szCs w:val="20"/>
              </w:rPr>
              <w:t>支座中单层</w:t>
            </w:r>
            <w:r>
              <w:rPr>
                <w:rFonts w:hint="eastAsia" w:hAnsi="宋体"/>
                <w:sz w:val="21"/>
                <w:szCs w:val="20"/>
                <w:bdr w:val="single" w:color="auto" w:sz="4" w:space="0"/>
              </w:rPr>
              <w:t>橡胶层的</w:t>
            </w:r>
            <w:r>
              <w:rPr>
                <w:rFonts w:hint="eastAsia" w:hAnsi="宋体"/>
                <w:sz w:val="21"/>
                <w:szCs w:val="20"/>
              </w:rPr>
              <w:t>内部</w:t>
            </w:r>
            <w:r>
              <w:rPr>
                <w:rFonts w:hAnsi="宋体"/>
                <w:sz w:val="21"/>
                <w:szCs w:val="20"/>
              </w:rPr>
              <w:t>橡胶的平面面积</w:t>
            </w:r>
            <w:r>
              <w:rPr>
                <w:rFonts w:hint="eastAsia" w:hAnsi="宋体"/>
                <w:sz w:val="21"/>
                <w:szCs w:val="20"/>
              </w:rPr>
              <w:t>与其自由侧面表面积之比。</w:t>
            </w:r>
          </w:p>
        </w:tc>
      </w:tr>
      <w:tr w14:paraId="7EAFAC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329D5207">
            <w:pPr>
              <w:pStyle w:val="70"/>
              <w:ind w:firstLine="0" w:firstLineChars="0"/>
              <w:rPr>
                <w:rFonts w:hint="eastAsia" w:hAnsi="宋体"/>
                <w:sz w:val="21"/>
                <w:szCs w:val="20"/>
              </w:rPr>
            </w:pPr>
            <w:r>
              <w:rPr>
                <w:rFonts w:hAnsi="宋体"/>
                <w:sz w:val="21"/>
                <w:szCs w:val="20"/>
              </w:rPr>
              <w:t>3.1.13</w:t>
            </w:r>
          </w:p>
          <w:p w14:paraId="5860A631">
            <w:pPr>
              <w:pStyle w:val="70"/>
              <w:ind w:firstLine="420"/>
              <w:rPr>
                <w:rFonts w:ascii="Times New Roman" w:eastAsia="黑体"/>
                <w:b/>
                <w:bCs/>
                <w:sz w:val="21"/>
                <w:szCs w:val="20"/>
              </w:rPr>
            </w:pPr>
            <w:r>
              <w:rPr>
                <w:rFonts w:hint="eastAsia" w:ascii="Times New Roman" w:eastAsia="黑体" w:cs="黑体"/>
                <w:sz w:val="21"/>
                <w:szCs w:val="20"/>
              </w:rPr>
              <w:t>竖向极限</w:t>
            </w:r>
            <w:r>
              <w:rPr>
                <w:rFonts w:ascii="Times New Roman" w:eastAsia="黑体" w:cs="黑体"/>
                <w:sz w:val="21"/>
                <w:szCs w:val="20"/>
              </w:rPr>
              <w:t>拉</w:t>
            </w:r>
            <w:r>
              <w:rPr>
                <w:rFonts w:hint="eastAsia" w:ascii="Times New Roman" w:eastAsia="黑体" w:cs="黑体"/>
                <w:sz w:val="21"/>
                <w:szCs w:val="20"/>
              </w:rPr>
              <w:t xml:space="preserve">应力  </w:t>
            </w:r>
            <w:r>
              <w:rPr>
                <w:rFonts w:ascii="Times New Roman" w:eastAsia="黑体"/>
                <w:b/>
                <w:bCs/>
                <w:sz w:val="21"/>
                <w:szCs w:val="20"/>
              </w:rPr>
              <w:t>vertical ultimate tensile stress</w:t>
            </w:r>
          </w:p>
          <w:p w14:paraId="0ED482DD">
            <w:pPr>
              <w:snapToGrid w:val="0"/>
              <w:spacing w:line="360" w:lineRule="auto"/>
              <w:ind w:firstLine="420" w:firstLineChars="200"/>
              <w:jc w:val="left"/>
              <w:rPr>
                <w:rFonts w:hint="eastAsia" w:hAnsi="宋体"/>
              </w:rPr>
            </w:pPr>
            <w:r>
              <w:rPr>
                <w:rFonts w:hint="eastAsia" w:hAnsi="宋体"/>
              </w:rPr>
              <w:t>支座竖向</w:t>
            </w:r>
            <w:r>
              <w:rPr>
                <w:rFonts w:hAnsi="宋体"/>
              </w:rPr>
              <w:t>拉伸至破坏所能承受的最大拉应力</w:t>
            </w:r>
            <w:r>
              <w:rPr>
                <w:rFonts w:hint="eastAsia" w:hAnsi="宋体"/>
              </w:rPr>
              <w:t>。</w:t>
            </w:r>
          </w:p>
        </w:tc>
        <w:tc>
          <w:tcPr>
            <w:tcW w:w="5126" w:type="dxa"/>
            <w:vAlign w:val="center"/>
          </w:tcPr>
          <w:p w14:paraId="09AD22B1">
            <w:pPr>
              <w:pStyle w:val="70"/>
              <w:ind w:firstLine="0" w:firstLineChars="0"/>
              <w:jc w:val="left"/>
              <w:rPr>
                <w:rFonts w:hint="eastAsia" w:hAnsi="宋体"/>
                <w:sz w:val="21"/>
                <w:szCs w:val="20"/>
                <w:bdr w:val="single" w:color="auto" w:sz="4" w:space="0"/>
              </w:rPr>
            </w:pPr>
            <w:r>
              <w:rPr>
                <w:rFonts w:hint="eastAsia" w:hAnsi="宋体"/>
                <w:sz w:val="21"/>
                <w:szCs w:val="20"/>
                <w:bdr w:val="single" w:color="auto" w:sz="4" w:space="0"/>
              </w:rPr>
              <w:t>3.1.13</w:t>
            </w:r>
          </w:p>
          <w:p w14:paraId="5218A1F0">
            <w:pPr>
              <w:pStyle w:val="70"/>
              <w:ind w:firstLine="420"/>
              <w:jc w:val="left"/>
              <w:rPr>
                <w:rFonts w:hint="eastAsia" w:hAnsi="宋体"/>
                <w:sz w:val="21"/>
                <w:szCs w:val="20"/>
                <w:bdr w:val="single" w:color="auto" w:sz="4" w:space="0"/>
              </w:rPr>
            </w:pPr>
            <w:r>
              <w:rPr>
                <w:rFonts w:hint="eastAsia" w:hAnsi="宋体"/>
                <w:sz w:val="21"/>
                <w:szCs w:val="20"/>
                <w:bdr w:val="single" w:color="auto" w:sz="4" w:space="0"/>
              </w:rPr>
              <w:t>竖向极限拉应力  vertical ultimate tensile stress</w:t>
            </w:r>
          </w:p>
          <w:p w14:paraId="16095286">
            <w:pPr>
              <w:pStyle w:val="70"/>
              <w:ind w:firstLine="420"/>
              <w:jc w:val="left"/>
              <w:rPr>
                <w:rFonts w:hint="eastAsia" w:hAnsi="宋体"/>
                <w:sz w:val="21"/>
                <w:szCs w:val="20"/>
              </w:rPr>
            </w:pPr>
            <w:r>
              <w:rPr>
                <w:rFonts w:hint="eastAsia" w:hAnsi="宋体"/>
                <w:sz w:val="21"/>
                <w:szCs w:val="20"/>
                <w:bdr w:val="single" w:color="auto" w:sz="4" w:space="0"/>
              </w:rPr>
              <w:t>支座竖向拉伸至破坏所能承受的最大拉应力。</w:t>
            </w:r>
          </w:p>
        </w:tc>
      </w:tr>
      <w:tr w14:paraId="5BEDB0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3477CCD0">
            <w:pPr>
              <w:snapToGrid w:val="0"/>
              <w:spacing w:line="360" w:lineRule="auto"/>
              <w:ind w:firstLine="420" w:firstLineChars="200"/>
              <w:jc w:val="left"/>
              <w:rPr>
                <w:rFonts w:hint="eastAsia" w:hAnsi="宋体"/>
              </w:rPr>
            </w:pPr>
          </w:p>
        </w:tc>
        <w:tc>
          <w:tcPr>
            <w:tcW w:w="5126" w:type="dxa"/>
            <w:vAlign w:val="center"/>
          </w:tcPr>
          <w:p w14:paraId="72F905FA">
            <w:pPr>
              <w:pStyle w:val="70"/>
              <w:spacing w:before="161" w:beforeLines="50"/>
              <w:ind w:firstLine="0" w:firstLineChars="0"/>
              <w:rPr>
                <w:rFonts w:ascii="Times New Roman"/>
                <w:sz w:val="21"/>
                <w:szCs w:val="21"/>
                <w:u w:val="single"/>
              </w:rPr>
            </w:pPr>
            <w:r>
              <w:rPr>
                <w:rFonts w:ascii="Times New Roman"/>
                <w:sz w:val="21"/>
                <w:szCs w:val="21"/>
                <w:u w:val="single"/>
              </w:rPr>
              <w:t>3.1.1</w:t>
            </w:r>
            <w:r>
              <w:rPr>
                <w:rFonts w:hint="eastAsia" w:ascii="Times New Roman"/>
                <w:sz w:val="21"/>
                <w:szCs w:val="21"/>
                <w:u w:val="single"/>
              </w:rPr>
              <w:t xml:space="preserve">6 </w:t>
            </w:r>
          </w:p>
          <w:p w14:paraId="56672D6C">
            <w:pPr>
              <w:pStyle w:val="70"/>
              <w:spacing w:before="161" w:beforeLines="50"/>
              <w:ind w:firstLine="420"/>
              <w:rPr>
                <w:rFonts w:ascii="Times New Roman"/>
                <w:b/>
                <w:bCs/>
                <w:sz w:val="21"/>
                <w:szCs w:val="21"/>
                <w:u w:val="single"/>
              </w:rPr>
            </w:pPr>
            <w:r>
              <w:rPr>
                <w:rFonts w:hint="eastAsia" w:ascii="黑体" w:hAnsi="黑体" w:eastAsia="黑体" w:cs="黑体"/>
                <w:kern w:val="0"/>
                <w:sz w:val="21"/>
                <w:szCs w:val="21"/>
                <w:u w:val="single"/>
              </w:rPr>
              <w:t>剪切变形竖向极限拉应力</w:t>
            </w:r>
            <w:r>
              <w:rPr>
                <w:rFonts w:ascii="Times New Roman"/>
                <w:sz w:val="21"/>
                <w:szCs w:val="21"/>
                <w:u w:val="single"/>
              </w:rPr>
              <w:t xml:space="preserve">  </w:t>
            </w:r>
            <w:r>
              <w:rPr>
                <w:rFonts w:ascii="Times New Roman"/>
                <w:b/>
                <w:bCs/>
                <w:sz w:val="21"/>
                <w:szCs w:val="21"/>
                <w:u w:val="single"/>
              </w:rPr>
              <w:t xml:space="preserve"> ultimate</w:t>
            </w:r>
            <w:r>
              <w:rPr>
                <w:rFonts w:hint="eastAsia" w:ascii="Times New Roman"/>
                <w:b/>
                <w:bCs/>
                <w:sz w:val="21"/>
                <w:szCs w:val="21"/>
                <w:u w:val="single"/>
              </w:rPr>
              <w:t xml:space="preserve"> tensile stress</w:t>
            </w:r>
            <w:r>
              <w:rPr>
                <w:rFonts w:ascii="Times New Roman"/>
                <w:b/>
                <w:bCs/>
                <w:sz w:val="21"/>
                <w:szCs w:val="21"/>
                <w:u w:val="single"/>
              </w:rPr>
              <w:t xml:space="preserve"> </w:t>
            </w:r>
            <w:r>
              <w:rPr>
                <w:rFonts w:hint="eastAsia" w:ascii="Times New Roman"/>
                <w:b/>
                <w:bCs/>
                <w:sz w:val="21"/>
                <w:szCs w:val="21"/>
                <w:u w:val="single"/>
              </w:rPr>
              <w:t xml:space="preserve">under shear </w:t>
            </w:r>
            <w:r>
              <w:rPr>
                <w:rFonts w:ascii="Times New Roman"/>
                <w:b/>
                <w:bCs/>
                <w:sz w:val="21"/>
                <w:szCs w:val="21"/>
                <w:u w:val="single"/>
              </w:rPr>
              <w:t xml:space="preserve">deformation </w:t>
            </w:r>
          </w:p>
          <w:p w14:paraId="4F466DC3">
            <w:pPr>
              <w:snapToGrid w:val="0"/>
              <w:ind w:firstLine="492" w:firstLineChars="200"/>
              <w:jc w:val="left"/>
              <w:rPr>
                <w:rFonts w:hint="eastAsia" w:hAnsi="宋体"/>
              </w:rPr>
            </w:pPr>
            <w:r>
              <w:rPr>
                <w:spacing w:val="18"/>
                <w:u w:val="single"/>
              </w:rPr>
              <w:t>支座</w:t>
            </w:r>
            <w:r>
              <w:rPr>
                <w:rFonts w:hint="eastAsia"/>
                <w:spacing w:val="18"/>
                <w:u w:val="single"/>
              </w:rPr>
              <w:t>在剪切变形</w:t>
            </w:r>
            <w:r>
              <w:rPr>
                <w:spacing w:val="18"/>
                <w:u w:val="single"/>
              </w:rPr>
              <w:t>下</w:t>
            </w:r>
            <w:r>
              <w:rPr>
                <w:rFonts w:hint="eastAsia"/>
                <w:spacing w:val="18"/>
                <w:u w:val="single"/>
              </w:rPr>
              <w:t>竖向拉伸</w:t>
            </w:r>
            <w:r>
              <w:rPr>
                <w:spacing w:val="18"/>
                <w:u w:val="single"/>
              </w:rPr>
              <w:t>至破坏时的</w:t>
            </w:r>
            <w:r>
              <w:rPr>
                <w:rFonts w:hint="eastAsia"/>
                <w:spacing w:val="18"/>
                <w:u w:val="single"/>
              </w:rPr>
              <w:t>等效应力，等效应力按轴向拉力除以支座内部橡胶平面面积计算。</w:t>
            </w:r>
          </w:p>
        </w:tc>
      </w:tr>
      <w:tr w14:paraId="31E624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48951BBC">
            <w:pPr>
              <w:snapToGrid w:val="0"/>
              <w:spacing w:line="360" w:lineRule="auto"/>
              <w:ind w:firstLine="420" w:firstLineChars="200"/>
              <w:jc w:val="left"/>
              <w:rPr>
                <w:rFonts w:hint="eastAsia" w:hAnsi="宋体"/>
              </w:rPr>
            </w:pPr>
          </w:p>
        </w:tc>
        <w:tc>
          <w:tcPr>
            <w:tcW w:w="5126" w:type="dxa"/>
            <w:vAlign w:val="center"/>
          </w:tcPr>
          <w:p w14:paraId="1B55DD9B">
            <w:pPr>
              <w:pStyle w:val="70"/>
              <w:spacing w:before="161" w:beforeLines="50"/>
              <w:ind w:firstLine="0" w:firstLineChars="0"/>
              <w:rPr>
                <w:rFonts w:ascii="Times New Roman"/>
                <w:sz w:val="21"/>
                <w:szCs w:val="21"/>
                <w:u w:val="single"/>
              </w:rPr>
            </w:pPr>
            <w:r>
              <w:rPr>
                <w:rFonts w:ascii="Times New Roman"/>
                <w:sz w:val="21"/>
                <w:szCs w:val="21"/>
                <w:u w:val="single"/>
              </w:rPr>
              <w:t>3.1.1</w:t>
            </w:r>
            <w:r>
              <w:rPr>
                <w:rFonts w:hint="eastAsia" w:ascii="Times New Roman"/>
                <w:sz w:val="21"/>
                <w:szCs w:val="21"/>
                <w:u w:val="single"/>
              </w:rPr>
              <w:t xml:space="preserve">7 </w:t>
            </w:r>
          </w:p>
          <w:p w14:paraId="482342C6">
            <w:pPr>
              <w:pStyle w:val="70"/>
              <w:spacing w:before="161" w:beforeLines="50"/>
              <w:ind w:firstLine="420"/>
              <w:rPr>
                <w:rFonts w:ascii="Times New Roman"/>
                <w:b/>
                <w:bCs/>
                <w:sz w:val="21"/>
                <w:szCs w:val="21"/>
                <w:u w:val="single"/>
              </w:rPr>
            </w:pPr>
            <w:r>
              <w:rPr>
                <w:rFonts w:hint="eastAsia" w:ascii="黑体" w:hAnsi="黑体" w:eastAsia="黑体" w:cs="黑体"/>
                <w:kern w:val="0"/>
                <w:sz w:val="21"/>
                <w:szCs w:val="21"/>
                <w:u w:val="single"/>
              </w:rPr>
              <w:t>剪切变形竖向极限拉应变</w:t>
            </w:r>
            <w:r>
              <w:rPr>
                <w:rFonts w:ascii="Times New Roman"/>
                <w:sz w:val="21"/>
                <w:szCs w:val="21"/>
                <w:u w:val="single"/>
              </w:rPr>
              <w:t xml:space="preserve">  </w:t>
            </w:r>
            <w:r>
              <w:rPr>
                <w:rFonts w:ascii="Times New Roman"/>
                <w:b/>
                <w:bCs/>
                <w:sz w:val="21"/>
                <w:szCs w:val="21"/>
                <w:u w:val="single"/>
              </w:rPr>
              <w:t>ultimate</w:t>
            </w:r>
            <w:r>
              <w:rPr>
                <w:rFonts w:hint="eastAsia" w:ascii="Times New Roman"/>
                <w:b/>
                <w:bCs/>
                <w:sz w:val="21"/>
                <w:szCs w:val="21"/>
                <w:u w:val="single"/>
              </w:rPr>
              <w:t xml:space="preserve"> tensile strain under shear </w:t>
            </w:r>
            <w:r>
              <w:rPr>
                <w:rFonts w:ascii="Times New Roman"/>
                <w:b/>
                <w:bCs/>
                <w:sz w:val="21"/>
                <w:szCs w:val="21"/>
                <w:u w:val="single"/>
              </w:rPr>
              <w:t xml:space="preserve">deformation </w:t>
            </w:r>
          </w:p>
          <w:p w14:paraId="0BC57A01">
            <w:pPr>
              <w:snapToGrid w:val="0"/>
              <w:ind w:firstLine="492" w:firstLineChars="200"/>
              <w:jc w:val="left"/>
              <w:rPr>
                <w:spacing w:val="18"/>
                <w:u w:val="single"/>
              </w:rPr>
            </w:pPr>
            <w:r>
              <w:rPr>
                <w:spacing w:val="18"/>
                <w:u w:val="single"/>
              </w:rPr>
              <w:t>支座</w:t>
            </w:r>
            <w:r>
              <w:rPr>
                <w:rFonts w:hint="eastAsia"/>
                <w:spacing w:val="18"/>
                <w:u w:val="single"/>
              </w:rPr>
              <w:t>在剪切变形</w:t>
            </w:r>
            <w:r>
              <w:rPr>
                <w:spacing w:val="18"/>
                <w:u w:val="single"/>
              </w:rPr>
              <w:t>下</w:t>
            </w:r>
            <w:r>
              <w:rPr>
                <w:rFonts w:hint="eastAsia"/>
                <w:spacing w:val="18"/>
                <w:u w:val="single"/>
              </w:rPr>
              <w:t>竖向拉伸</w:t>
            </w:r>
            <w:r>
              <w:rPr>
                <w:spacing w:val="18"/>
                <w:u w:val="single"/>
              </w:rPr>
              <w:t>至破坏时的</w:t>
            </w:r>
            <w:r>
              <w:rPr>
                <w:rFonts w:hint="eastAsia"/>
                <w:spacing w:val="18"/>
                <w:u w:val="single"/>
              </w:rPr>
              <w:t>等效应变，等效应变按轴向拉伸位移除以支座橡胶厚度计算。</w:t>
            </w:r>
          </w:p>
        </w:tc>
      </w:tr>
      <w:tr w14:paraId="07B91A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650775F7">
            <w:pPr>
              <w:snapToGrid w:val="0"/>
              <w:ind w:firstLine="482" w:firstLineChars="200"/>
              <w:jc w:val="center"/>
              <w:rPr>
                <w:rFonts w:eastAsia="黑体"/>
                <w:b/>
                <w:kern w:val="0"/>
                <w:sz w:val="24"/>
                <w:szCs w:val="28"/>
              </w:rPr>
            </w:pPr>
            <w:bookmarkStart w:id="6" w:name="_Toc494201300"/>
            <w:r>
              <w:rPr>
                <w:rFonts w:hint="eastAsia" w:eastAsia="黑体"/>
                <w:b/>
                <w:kern w:val="0"/>
                <w:sz w:val="24"/>
                <w:szCs w:val="28"/>
              </w:rPr>
              <w:t>4 分类与标记</w:t>
            </w:r>
            <w:bookmarkEnd w:id="6"/>
          </w:p>
        </w:tc>
        <w:tc>
          <w:tcPr>
            <w:tcW w:w="5126" w:type="dxa"/>
            <w:vAlign w:val="center"/>
          </w:tcPr>
          <w:p w14:paraId="6A4582D5">
            <w:pPr>
              <w:snapToGrid w:val="0"/>
              <w:ind w:firstLine="482" w:firstLineChars="200"/>
              <w:jc w:val="center"/>
              <w:rPr>
                <w:spacing w:val="18"/>
                <w:u w:val="single"/>
              </w:rPr>
            </w:pPr>
            <w:r>
              <w:rPr>
                <w:rFonts w:hint="eastAsia" w:eastAsia="黑体"/>
                <w:b/>
                <w:kern w:val="0"/>
                <w:sz w:val="24"/>
                <w:szCs w:val="28"/>
              </w:rPr>
              <w:t>4 分类与标记</w:t>
            </w:r>
          </w:p>
        </w:tc>
      </w:tr>
      <w:tr w14:paraId="3B82A8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tcPr>
          <w:p w14:paraId="632BCA96">
            <w:pPr>
              <w:pStyle w:val="73"/>
              <w:numPr>
                <w:ilvl w:val="2"/>
                <w:numId w:val="0"/>
              </w:numPr>
              <w:jc w:val="both"/>
            </w:pPr>
            <w:r>
              <w:rPr>
                <w:rFonts w:hint="eastAsia" w:cs="黑体"/>
              </w:rPr>
              <w:t>4.1分类</w:t>
            </w:r>
          </w:p>
          <w:p w14:paraId="2207C698">
            <w:pPr>
              <w:pStyle w:val="72"/>
              <w:ind w:firstLine="420"/>
              <w:rPr>
                <w:rFonts w:hint="eastAsia" w:hAnsi="宋体" w:cs="Times New Roman"/>
              </w:rPr>
            </w:pPr>
            <w:r>
              <w:rPr>
                <w:rFonts w:hint="eastAsia" w:hAnsi="宋体"/>
              </w:rPr>
              <w:t>建筑隔震橡胶支座可分为天然橡胶支座、铅芯橡胶支座和高阻尼橡胶支座。常用的截面形状分为圆形或矩形,</w:t>
            </w:r>
            <w:r>
              <w:rPr>
                <w:rFonts w:hint="eastAsia" w:ascii="黑体" w:hAnsi="黑体" w:eastAsia="黑体" w:cs="Times New Roman"/>
              </w:rPr>
              <w:t xml:space="preserve"> </w:t>
            </w:r>
            <w:r>
              <w:rPr>
                <w:rFonts w:hint="eastAsia" w:hAnsi="宋体"/>
              </w:rPr>
              <w:t>平面示意图见图1。</w:t>
            </w:r>
          </w:p>
          <w:p w14:paraId="1F5A707D">
            <w:pPr>
              <w:pStyle w:val="72"/>
              <w:ind w:firstLine="420"/>
              <w:rPr>
                <w:rFonts w:cs="Times New Roman"/>
              </w:rPr>
            </w:pPr>
            <w:r>
              <w:rPr>
                <w:rFonts w:cs="Times New Roman"/>
              </w:rPr>
              <w:drawing>
                <wp:inline distT="0" distB="0" distL="0" distR="0">
                  <wp:extent cx="2514600" cy="11366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538825" cy="1148131"/>
                          </a:xfrm>
                          <a:prstGeom prst="rect">
                            <a:avLst/>
                          </a:prstGeom>
                          <a:noFill/>
                          <a:ln>
                            <a:noFill/>
                          </a:ln>
                        </pic:spPr>
                      </pic:pic>
                    </a:graphicData>
                  </a:graphic>
                </wp:inline>
              </w:drawing>
            </w:r>
          </w:p>
          <w:p w14:paraId="6B9A38E2">
            <w:pPr>
              <w:pStyle w:val="72"/>
              <w:ind w:firstLine="420"/>
              <w:rPr>
                <w:rFonts w:hint="eastAsia" w:ascii="黑体" w:hAnsi="黑体" w:eastAsia="黑体" w:cs="Times New Roman"/>
              </w:rPr>
            </w:pPr>
            <w:r>
              <w:rPr>
                <w:rFonts w:ascii="黑体" w:hAnsi="黑体" w:eastAsia="黑体" w:cs="Times New Roman"/>
              </w:rPr>
              <w:t>a</w:t>
            </w:r>
            <w:r>
              <w:rPr>
                <w:rFonts w:hint="eastAsia" w:ascii="黑体" w:hAnsi="黑体" w:eastAsia="黑体" w:cs="Times New Roman"/>
              </w:rPr>
              <w:t>）圆形</w:t>
            </w:r>
            <w:r>
              <w:rPr>
                <w:rFonts w:ascii="黑体" w:hAnsi="黑体" w:eastAsia="黑体" w:cs="Times New Roman"/>
              </w:rPr>
              <w:t>支座</w:t>
            </w:r>
            <w:r>
              <w:rPr>
                <w:rFonts w:hint="eastAsia" w:ascii="黑体" w:hAnsi="黑体" w:eastAsia="黑体" w:cs="Times New Roman"/>
              </w:rPr>
              <w:t xml:space="preserve">         </w:t>
            </w:r>
            <w:r>
              <w:rPr>
                <w:rFonts w:ascii="黑体" w:hAnsi="黑体" w:eastAsia="黑体" w:cs="Times New Roman"/>
              </w:rPr>
              <w:t xml:space="preserve"> b）矩形支座</w:t>
            </w:r>
          </w:p>
          <w:p w14:paraId="16852F43">
            <w:pPr>
              <w:snapToGrid w:val="0"/>
              <w:spacing w:line="360" w:lineRule="auto"/>
              <w:ind w:firstLine="420" w:firstLineChars="200"/>
              <w:rPr>
                <w:rFonts w:eastAsia="黑体"/>
                <w:b/>
                <w:kern w:val="0"/>
                <w:sz w:val="24"/>
                <w:szCs w:val="28"/>
              </w:rPr>
            </w:pPr>
            <w:r>
              <w:rPr>
                <w:rFonts w:hint="eastAsia" w:ascii="黑体" w:hAnsi="黑体" w:eastAsia="黑体"/>
              </w:rPr>
              <w:t xml:space="preserve">图 1  隔震橡胶支座平面示意图 </w:t>
            </w:r>
          </w:p>
        </w:tc>
        <w:tc>
          <w:tcPr>
            <w:tcW w:w="5126" w:type="dxa"/>
            <w:vAlign w:val="center"/>
          </w:tcPr>
          <w:p w14:paraId="0E72EC3E">
            <w:pPr>
              <w:pStyle w:val="73"/>
              <w:numPr>
                <w:ilvl w:val="2"/>
                <w:numId w:val="0"/>
              </w:numPr>
            </w:pPr>
            <w:r>
              <w:rPr>
                <w:rFonts w:hint="eastAsia" w:cs="黑体"/>
              </w:rPr>
              <w:t>4.1 分类</w:t>
            </w:r>
          </w:p>
          <w:p w14:paraId="69DDC443">
            <w:pPr>
              <w:pStyle w:val="72"/>
              <w:ind w:firstLine="420"/>
              <w:rPr>
                <w:rFonts w:hint="eastAsia" w:hAnsi="宋体"/>
              </w:rPr>
            </w:pPr>
            <w:r>
              <w:rPr>
                <w:rFonts w:hint="eastAsia" w:hAnsi="宋体"/>
              </w:rPr>
              <w:t>建筑隔震橡胶支座</w:t>
            </w:r>
            <w:r>
              <w:rPr>
                <w:rFonts w:hint="eastAsia"/>
                <w:u w:val="single"/>
              </w:rPr>
              <w:t>按构造可分为：Ⅰ型和Ⅱ型，见表1；按材料构成</w:t>
            </w:r>
            <w:r>
              <w:rPr>
                <w:rFonts w:hint="eastAsia" w:hAnsi="宋体"/>
              </w:rPr>
              <w:t>可分为天然橡胶支座、铅芯橡胶支座和高阻尼橡胶支座。常用的截面形状分为圆形或矩形,</w:t>
            </w:r>
            <w:r>
              <w:rPr>
                <w:rFonts w:hint="eastAsia" w:ascii="黑体" w:hAnsi="黑体" w:eastAsia="黑体" w:cs="Times New Roman"/>
              </w:rPr>
              <w:t xml:space="preserve"> </w:t>
            </w:r>
            <w:r>
              <w:rPr>
                <w:rFonts w:hint="eastAsia" w:hAnsi="宋体"/>
              </w:rPr>
              <w:t>平面示意图见图1。</w:t>
            </w:r>
          </w:p>
          <w:p w14:paraId="7BBF31F3">
            <w:pPr>
              <w:pStyle w:val="72"/>
              <w:ind w:firstLine="420"/>
              <w:jc w:val="center"/>
            </w:pPr>
            <w:r>
              <w:rPr>
                <w:rFonts w:hint="eastAsia"/>
                <w:u w:val="single"/>
              </w:rPr>
              <w:t>表1 按构造分类</w:t>
            </w:r>
            <w:r>
              <w:rPr>
                <w:u w:val="single"/>
              </w:rPr>
              <w:drawing>
                <wp:inline distT="0" distB="0" distL="114300" distR="114300">
                  <wp:extent cx="3111500" cy="1703070"/>
                  <wp:effectExtent l="0" t="0" r="12700" b="11430"/>
                  <wp:docPr id="2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3"/>
                          <pic:cNvPicPr>
                            <a:picLocks noChangeAspect="1"/>
                          </pic:cNvPicPr>
                        </pic:nvPicPr>
                        <pic:blipFill>
                          <a:blip r:embed="rId13"/>
                          <a:stretch>
                            <a:fillRect/>
                          </a:stretch>
                        </pic:blipFill>
                        <pic:spPr>
                          <a:xfrm>
                            <a:off x="0" y="0"/>
                            <a:ext cx="3111500" cy="1703070"/>
                          </a:xfrm>
                          <a:prstGeom prst="rect">
                            <a:avLst/>
                          </a:prstGeom>
                          <a:noFill/>
                          <a:ln>
                            <a:noFill/>
                          </a:ln>
                        </pic:spPr>
                      </pic:pic>
                    </a:graphicData>
                  </a:graphic>
                </wp:inline>
              </w:drawing>
            </w:r>
          </w:p>
          <w:p w14:paraId="70EC41E4">
            <w:pPr>
              <w:pStyle w:val="72"/>
              <w:ind w:firstLine="420"/>
              <w:jc w:val="center"/>
              <w:rPr>
                <w:rFonts w:cs="Times New Roman"/>
              </w:rPr>
            </w:pPr>
            <w:r>
              <w:rPr>
                <w:rFonts w:cs="Times New Roman"/>
              </w:rPr>
              <w:drawing>
                <wp:inline distT="0" distB="0" distL="0" distR="0">
                  <wp:extent cx="2514600" cy="1136650"/>
                  <wp:effectExtent l="0" t="0" r="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538825" cy="1148131"/>
                          </a:xfrm>
                          <a:prstGeom prst="rect">
                            <a:avLst/>
                          </a:prstGeom>
                          <a:noFill/>
                          <a:ln>
                            <a:noFill/>
                          </a:ln>
                        </pic:spPr>
                      </pic:pic>
                    </a:graphicData>
                  </a:graphic>
                </wp:inline>
              </w:drawing>
            </w:r>
          </w:p>
          <w:p w14:paraId="32A8C988">
            <w:pPr>
              <w:pStyle w:val="72"/>
              <w:ind w:firstLine="3045" w:firstLineChars="1450"/>
              <w:jc w:val="left"/>
              <w:rPr>
                <w:rFonts w:hint="eastAsia" w:ascii="黑体" w:hAnsi="黑体" w:eastAsia="黑体" w:cs="Times New Roman"/>
              </w:rPr>
            </w:pPr>
            <w:r>
              <w:rPr>
                <w:rFonts w:ascii="黑体" w:hAnsi="黑体" w:eastAsia="黑体" w:cs="Times New Roman"/>
              </w:rPr>
              <w:t>a</w:t>
            </w:r>
            <w:r>
              <w:rPr>
                <w:rFonts w:hint="eastAsia" w:ascii="黑体" w:hAnsi="黑体" w:eastAsia="黑体" w:cs="Times New Roman"/>
              </w:rPr>
              <w:t>）圆形</w:t>
            </w:r>
            <w:r>
              <w:rPr>
                <w:rFonts w:ascii="黑体" w:hAnsi="黑体" w:eastAsia="黑体" w:cs="Times New Roman"/>
              </w:rPr>
              <w:t>支座</w:t>
            </w:r>
            <w:r>
              <w:rPr>
                <w:rFonts w:hint="eastAsia" w:ascii="黑体" w:hAnsi="黑体" w:eastAsia="黑体" w:cs="Times New Roman"/>
              </w:rPr>
              <w:t xml:space="preserve">         </w:t>
            </w:r>
            <w:r>
              <w:rPr>
                <w:rFonts w:ascii="黑体" w:hAnsi="黑体" w:eastAsia="黑体" w:cs="Times New Roman"/>
              </w:rPr>
              <w:t xml:space="preserve"> b）矩形支座</w:t>
            </w:r>
          </w:p>
          <w:p w14:paraId="10482A12">
            <w:pPr>
              <w:snapToGrid w:val="0"/>
              <w:ind w:firstLine="420" w:firstLineChars="200"/>
              <w:jc w:val="center"/>
              <w:rPr>
                <w:rFonts w:eastAsia="黑体"/>
                <w:b/>
                <w:kern w:val="0"/>
                <w:sz w:val="24"/>
                <w:szCs w:val="28"/>
              </w:rPr>
            </w:pPr>
            <w:r>
              <w:rPr>
                <w:rFonts w:hint="eastAsia" w:ascii="黑体" w:hAnsi="黑体" w:eastAsia="黑体"/>
              </w:rPr>
              <w:t xml:space="preserve">图 1  隔震橡胶支座平面示意图 </w:t>
            </w:r>
          </w:p>
        </w:tc>
      </w:tr>
      <w:tr w14:paraId="7D96D8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tcPr>
          <w:p w14:paraId="1E9411B4">
            <w:pPr>
              <w:pStyle w:val="72"/>
              <w:ind w:firstLine="0" w:firstLineChars="0"/>
              <w:rPr>
                <w:rFonts w:hint="eastAsia" w:hAnsi="宋体" w:cs="Times New Roman"/>
              </w:rPr>
            </w:pPr>
            <w:r>
              <w:rPr>
                <w:rFonts w:hAnsi="宋体"/>
              </w:rPr>
              <w:t xml:space="preserve">4.2.1 </w:t>
            </w:r>
            <w:r>
              <w:rPr>
                <w:rFonts w:hint="eastAsia" w:hAnsi="宋体"/>
              </w:rPr>
              <w:t>标记方法</w:t>
            </w:r>
          </w:p>
          <w:p w14:paraId="3177F8D0">
            <w:pPr>
              <w:pStyle w:val="72"/>
              <w:ind w:firstLine="420" w:firstLineChars="0"/>
              <w:rPr>
                <w:rFonts w:hint="eastAsia" w:hAnsi="宋体"/>
              </w:rPr>
            </w:pPr>
            <w:r>
              <w:rPr>
                <w:rFonts w:hint="eastAsia" w:hAnsi="宋体"/>
              </w:rPr>
              <w:t>支座产品的标记应</w:t>
            </w:r>
            <w:r>
              <w:rPr>
                <w:rFonts w:hAnsi="宋体"/>
              </w:rPr>
              <w:t>由支座类型</w:t>
            </w:r>
            <w:r>
              <w:rPr>
                <w:rFonts w:hint="eastAsia" w:hAnsi="宋体"/>
              </w:rPr>
              <w:t>代号</w:t>
            </w:r>
            <w:r>
              <w:rPr>
                <w:rFonts w:hAnsi="宋体"/>
              </w:rPr>
              <w:t>、支座形状和尺寸组成</w:t>
            </w:r>
            <w:r>
              <w:rPr>
                <w:rFonts w:hint="eastAsia" w:hAnsi="宋体"/>
              </w:rPr>
              <w:t>。</w:t>
            </w:r>
          </w:p>
          <w:p w14:paraId="629115E8">
            <w:pPr>
              <w:pStyle w:val="72"/>
              <w:ind w:firstLine="420" w:firstLineChars="0"/>
              <w:rPr>
                <w:rFonts w:hint="eastAsia" w:hAnsi="宋体"/>
              </w:rPr>
            </w:pPr>
          </w:p>
          <w:p w14:paraId="73025705">
            <w:pPr>
              <w:snapToGrid w:val="0"/>
              <w:spacing w:line="360" w:lineRule="auto"/>
              <w:rPr>
                <w:rFonts w:hint="eastAsia" w:ascii="黑体" w:hAnsi="黑体" w:eastAsia="黑体"/>
              </w:rPr>
            </w:pPr>
            <w:r>
              <w:rPr>
                <w:rFonts w:hAnsi="宋体"/>
              </w:rPr>
              <w:drawing>
                <wp:inline distT="0" distB="0" distL="0" distR="0">
                  <wp:extent cx="3171190" cy="329565"/>
                  <wp:effectExtent l="9525" t="9525" r="19685" b="228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171190" cy="329565"/>
                          </a:xfrm>
                          <a:prstGeom prst="rect">
                            <a:avLst/>
                          </a:prstGeom>
                          <a:ln>
                            <a:solidFill>
                              <a:schemeClr val="tx1"/>
                            </a:solidFill>
                          </a:ln>
                        </pic:spPr>
                      </pic:pic>
                    </a:graphicData>
                  </a:graphic>
                </wp:inline>
              </w:drawing>
            </w:r>
          </w:p>
        </w:tc>
        <w:tc>
          <w:tcPr>
            <w:tcW w:w="5126" w:type="dxa"/>
          </w:tcPr>
          <w:p w14:paraId="3BD150AE">
            <w:pPr>
              <w:pStyle w:val="72"/>
              <w:ind w:firstLine="0" w:firstLineChars="0"/>
              <w:rPr>
                <w:rFonts w:hint="eastAsia" w:hAnsi="宋体" w:cs="Times New Roman"/>
              </w:rPr>
            </w:pPr>
            <w:r>
              <w:rPr>
                <w:rFonts w:hAnsi="宋体"/>
              </w:rPr>
              <w:t xml:space="preserve">4.2.1 </w:t>
            </w:r>
            <w:r>
              <w:rPr>
                <w:rFonts w:hint="eastAsia" w:hAnsi="宋体"/>
              </w:rPr>
              <w:t>标记方法</w:t>
            </w:r>
          </w:p>
          <w:p w14:paraId="6810F268">
            <w:pPr>
              <w:pStyle w:val="72"/>
              <w:ind w:firstLine="420" w:firstLineChars="0"/>
              <w:rPr>
                <w:rFonts w:hint="eastAsia" w:hAnsi="宋体"/>
              </w:rPr>
            </w:pPr>
            <w:r>
              <w:rPr>
                <w:rFonts w:hint="eastAsia" w:hAnsi="宋体"/>
              </w:rPr>
              <w:t>支座产品的标记应</w:t>
            </w:r>
            <w:r>
              <w:rPr>
                <w:rFonts w:hAnsi="宋体"/>
              </w:rPr>
              <w:t>由支座类型</w:t>
            </w:r>
            <w:r>
              <w:rPr>
                <w:rFonts w:hint="eastAsia" w:hAnsi="宋体"/>
              </w:rPr>
              <w:t>代号</w:t>
            </w:r>
            <w:r>
              <w:rPr>
                <w:rFonts w:hAnsi="宋体"/>
              </w:rPr>
              <w:t>、</w:t>
            </w:r>
            <w:r>
              <w:rPr>
                <w:rFonts w:hAnsi="宋体"/>
                <w:bdr w:val="single" w:color="auto" w:sz="4" w:space="0"/>
              </w:rPr>
              <w:t>支座形状</w:t>
            </w:r>
            <w:r>
              <w:rPr>
                <w:rFonts w:hint="eastAsia" w:hAnsi="宋体"/>
                <w:u w:val="single"/>
              </w:rPr>
              <w:t>构造型号</w:t>
            </w:r>
            <w:r>
              <w:rPr>
                <w:rFonts w:hAnsi="宋体"/>
              </w:rPr>
              <w:t>和尺寸组成</w:t>
            </w:r>
            <w:r>
              <w:rPr>
                <w:rFonts w:hint="eastAsia" w:hAnsi="宋体"/>
              </w:rPr>
              <w:t>。</w:t>
            </w:r>
          </w:p>
          <w:p w14:paraId="6D307FC2">
            <w:pPr>
              <w:pStyle w:val="72"/>
              <w:ind w:firstLine="420" w:firstLineChars="0"/>
              <w:rPr>
                <w:rFonts w:hint="eastAsia" w:hAnsi="宋体"/>
              </w:rPr>
            </w:pPr>
          </w:p>
          <w:p w14:paraId="78A2189B">
            <w:pPr>
              <w:snapToGrid w:val="0"/>
              <w:spacing w:line="360" w:lineRule="auto"/>
              <w:rPr>
                <w:rFonts w:hint="eastAsia" w:ascii="黑体" w:hAnsi="黑体" w:eastAsia="黑体"/>
              </w:rPr>
            </w:pPr>
            <w:r>
              <w:drawing>
                <wp:inline distT="0" distB="0" distL="114300" distR="114300">
                  <wp:extent cx="3115310" cy="534035"/>
                  <wp:effectExtent l="0" t="0" r="8890" b="18415"/>
                  <wp:docPr id="2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4"/>
                          <pic:cNvPicPr>
                            <a:picLocks noChangeAspect="1"/>
                          </pic:cNvPicPr>
                        </pic:nvPicPr>
                        <pic:blipFill>
                          <a:blip r:embed="rId15"/>
                          <a:stretch>
                            <a:fillRect/>
                          </a:stretch>
                        </pic:blipFill>
                        <pic:spPr>
                          <a:xfrm>
                            <a:off x="0" y="0"/>
                            <a:ext cx="3115310" cy="534035"/>
                          </a:xfrm>
                          <a:prstGeom prst="rect">
                            <a:avLst/>
                          </a:prstGeom>
                          <a:noFill/>
                          <a:ln>
                            <a:noFill/>
                          </a:ln>
                        </pic:spPr>
                      </pic:pic>
                    </a:graphicData>
                  </a:graphic>
                </wp:inline>
              </w:drawing>
            </w:r>
          </w:p>
        </w:tc>
      </w:tr>
      <w:tr w14:paraId="56A0BF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tcPr>
          <w:p w14:paraId="1EEE8ADD">
            <w:pPr>
              <w:pStyle w:val="72"/>
              <w:ind w:firstLine="0" w:firstLineChars="0"/>
              <w:rPr>
                <w:rFonts w:cs="Times New Roman"/>
              </w:rPr>
            </w:pPr>
            <w:r>
              <w:rPr>
                <w:rFonts w:hint="eastAsia" w:hAnsi="宋体"/>
              </w:rPr>
              <w:t>4.2.2 示例</w:t>
            </w:r>
          </w:p>
          <w:p w14:paraId="4051F329">
            <w:pPr>
              <w:pStyle w:val="72"/>
              <w:ind w:firstLine="420"/>
              <w:rPr>
                <w:rFonts w:hint="eastAsia" w:hAnsi="宋体"/>
              </w:rPr>
            </w:pPr>
            <w:r>
              <w:rPr>
                <w:rFonts w:hint="eastAsia" w:hAnsi="宋体"/>
              </w:rPr>
              <w:t>示例1：天然橡胶隔震支座、有效直径</w:t>
            </w:r>
            <w:r>
              <w:rPr>
                <w:rFonts w:hAnsi="宋体"/>
              </w:rPr>
              <w:t>500mm</w:t>
            </w:r>
            <w:r>
              <w:rPr>
                <w:rFonts w:hint="eastAsia" w:hAnsi="宋体"/>
              </w:rPr>
              <w:t>，标记为：</w:t>
            </w:r>
            <w:r>
              <w:rPr>
                <w:rFonts w:hAnsi="宋体"/>
              </w:rPr>
              <w:t>LNR500</w:t>
            </w:r>
            <w:r>
              <w:rPr>
                <w:rFonts w:hint="eastAsia" w:hAnsi="宋体"/>
              </w:rPr>
              <w:t>。</w:t>
            </w:r>
          </w:p>
          <w:p w14:paraId="22EA528C">
            <w:pPr>
              <w:pStyle w:val="72"/>
              <w:ind w:firstLine="420"/>
              <w:rPr>
                <w:rFonts w:hint="eastAsia" w:hAnsi="宋体" w:cs="Times New Roman"/>
              </w:rPr>
            </w:pPr>
            <w:r>
              <w:rPr>
                <w:rFonts w:hint="eastAsia" w:hAnsi="宋体"/>
              </w:rPr>
              <w:t>示例2：铅芯橡胶隔震支座、有效直径</w:t>
            </w:r>
            <w:r>
              <w:rPr>
                <w:rFonts w:hAnsi="宋体"/>
              </w:rPr>
              <w:t>400mm</w:t>
            </w:r>
            <w:r>
              <w:rPr>
                <w:rFonts w:hint="eastAsia" w:hAnsi="宋体"/>
              </w:rPr>
              <w:t>，标记为：</w:t>
            </w:r>
            <w:r>
              <w:rPr>
                <w:rFonts w:hAnsi="宋体"/>
              </w:rPr>
              <w:t>LRB400</w:t>
            </w:r>
            <w:r>
              <w:rPr>
                <w:rFonts w:hint="eastAsia" w:hAnsi="宋体"/>
              </w:rPr>
              <w:t>。</w:t>
            </w:r>
          </w:p>
          <w:p w14:paraId="126D98DB">
            <w:pPr>
              <w:pStyle w:val="72"/>
              <w:ind w:firstLine="420"/>
              <w:rPr>
                <w:rFonts w:hint="eastAsia" w:hAnsi="宋体" w:cs="Times New Roman"/>
              </w:rPr>
            </w:pPr>
            <w:r>
              <w:rPr>
                <w:rFonts w:hint="eastAsia" w:hAnsi="宋体"/>
              </w:rPr>
              <w:t>示例3：高阻尼橡胶隔震支座、有效直径</w:t>
            </w:r>
            <w:r>
              <w:rPr>
                <w:rFonts w:hAnsi="宋体"/>
              </w:rPr>
              <w:t>600mm</w:t>
            </w:r>
            <w:r>
              <w:rPr>
                <w:rFonts w:hint="eastAsia" w:hAnsi="宋体"/>
              </w:rPr>
              <w:t>，标记为：</w:t>
            </w:r>
            <w:r>
              <w:rPr>
                <w:rFonts w:hAnsi="宋体"/>
              </w:rPr>
              <w:t>HDR400</w:t>
            </w:r>
            <w:r>
              <w:rPr>
                <w:rFonts w:hint="eastAsia" w:hAnsi="宋体"/>
              </w:rPr>
              <w:t>。</w:t>
            </w:r>
          </w:p>
          <w:p w14:paraId="118DD4CA">
            <w:pPr>
              <w:snapToGrid w:val="0"/>
              <w:spacing w:line="360" w:lineRule="auto"/>
              <w:rPr>
                <w:rFonts w:hint="eastAsia" w:hAnsi="宋体"/>
              </w:rPr>
            </w:pPr>
            <w:r>
              <w:rPr>
                <w:rFonts w:hint="eastAsia" w:hAnsi="宋体"/>
              </w:rPr>
              <w:t>示例4：天然橡胶隔震支座、矩形支座尺寸</w:t>
            </w:r>
            <w:r>
              <w:rPr>
                <w:rFonts w:hAnsi="宋体"/>
              </w:rPr>
              <w:t>500mm</w:t>
            </w:r>
            <w:r>
              <w:rPr>
                <w:rFonts w:hint="eastAsia" w:hAnsi="宋体"/>
              </w:rPr>
              <w:t>×</w:t>
            </w:r>
            <w:r>
              <w:rPr>
                <w:rFonts w:hAnsi="宋体"/>
              </w:rPr>
              <w:t>600mm</w:t>
            </w:r>
            <w:r>
              <w:rPr>
                <w:rFonts w:hint="eastAsia" w:hAnsi="宋体"/>
              </w:rPr>
              <w:t>，标记为：</w:t>
            </w:r>
            <w:r>
              <w:rPr>
                <w:rFonts w:hAnsi="宋体"/>
              </w:rPr>
              <w:t>LNR500</w:t>
            </w:r>
            <w:r>
              <w:rPr>
                <w:rFonts w:hint="eastAsia" w:hAnsi="宋体"/>
              </w:rPr>
              <w:t>×</w:t>
            </w:r>
            <w:r>
              <w:rPr>
                <w:rFonts w:hAnsi="宋体"/>
              </w:rPr>
              <w:t>600</w:t>
            </w:r>
            <w:r>
              <w:rPr>
                <w:rFonts w:hint="eastAsia" w:hAnsi="宋体"/>
              </w:rPr>
              <w:t>。</w:t>
            </w:r>
          </w:p>
        </w:tc>
        <w:tc>
          <w:tcPr>
            <w:tcW w:w="5126" w:type="dxa"/>
          </w:tcPr>
          <w:p w14:paraId="09290AF3">
            <w:pPr>
              <w:pStyle w:val="72"/>
              <w:ind w:firstLine="0" w:firstLineChars="0"/>
              <w:rPr>
                <w:rFonts w:cs="Times New Roman"/>
              </w:rPr>
            </w:pPr>
            <w:r>
              <w:rPr>
                <w:rFonts w:hint="eastAsia" w:hAnsi="宋体"/>
              </w:rPr>
              <w:t>4.2.2 示例</w:t>
            </w:r>
          </w:p>
          <w:p w14:paraId="0695BD49">
            <w:pPr>
              <w:pStyle w:val="72"/>
              <w:ind w:firstLine="420"/>
              <w:rPr>
                <w:rFonts w:hint="eastAsia" w:hAnsi="宋体"/>
              </w:rPr>
            </w:pPr>
            <w:r>
              <w:rPr>
                <w:rFonts w:hint="eastAsia" w:hAnsi="宋体"/>
              </w:rPr>
              <w:t>示例1：天然橡胶隔震支座、有效直径</w:t>
            </w:r>
            <w:r>
              <w:rPr>
                <w:rFonts w:hAnsi="宋体"/>
              </w:rPr>
              <w:t>500mm</w:t>
            </w:r>
            <w:r>
              <w:rPr>
                <w:rFonts w:hint="eastAsia" w:hAnsi="宋体"/>
                <w:u w:val="single"/>
              </w:rPr>
              <w:t>、构造I型</w:t>
            </w:r>
            <w:r>
              <w:rPr>
                <w:rFonts w:hint="eastAsia" w:hAnsi="宋体"/>
              </w:rPr>
              <w:t>，标记为：</w:t>
            </w:r>
            <w:r>
              <w:rPr>
                <w:rFonts w:hAnsi="宋体"/>
              </w:rPr>
              <w:t>LNR</w:t>
            </w:r>
            <w:r>
              <w:rPr>
                <w:rFonts w:hint="eastAsia" w:hAnsi="宋体"/>
                <w:u w:val="single"/>
              </w:rPr>
              <w:t xml:space="preserve">-I </w:t>
            </w:r>
            <w:r>
              <w:rPr>
                <w:rFonts w:hAnsi="宋体"/>
              </w:rPr>
              <w:t>500</w:t>
            </w:r>
            <w:r>
              <w:rPr>
                <w:rFonts w:hint="eastAsia" w:hAnsi="宋体"/>
              </w:rPr>
              <w:t>。</w:t>
            </w:r>
          </w:p>
          <w:p w14:paraId="398B450E">
            <w:pPr>
              <w:pStyle w:val="72"/>
              <w:ind w:firstLine="420"/>
              <w:rPr>
                <w:rFonts w:hint="eastAsia" w:hAnsi="宋体" w:cs="Times New Roman"/>
              </w:rPr>
            </w:pPr>
            <w:r>
              <w:rPr>
                <w:rFonts w:hint="eastAsia" w:hAnsi="宋体"/>
              </w:rPr>
              <w:t>示例2：铅芯橡胶隔震支座、有效直径</w:t>
            </w:r>
            <w:r>
              <w:rPr>
                <w:rFonts w:hAnsi="宋体"/>
              </w:rPr>
              <w:t>400mm</w:t>
            </w:r>
            <w:r>
              <w:rPr>
                <w:rFonts w:hint="eastAsia" w:hAnsi="宋体"/>
                <w:u w:val="single"/>
              </w:rPr>
              <w:t>、构造II型</w:t>
            </w:r>
            <w:r>
              <w:rPr>
                <w:rFonts w:hint="eastAsia" w:hAnsi="宋体"/>
              </w:rPr>
              <w:t>，标记为：</w:t>
            </w:r>
            <w:r>
              <w:rPr>
                <w:rFonts w:hAnsi="宋体"/>
              </w:rPr>
              <w:t>LRB</w:t>
            </w:r>
            <w:r>
              <w:rPr>
                <w:rFonts w:hint="eastAsia" w:hAnsi="宋体"/>
                <w:u w:val="single"/>
              </w:rPr>
              <w:t xml:space="preserve">-II </w:t>
            </w:r>
            <w:r>
              <w:rPr>
                <w:rFonts w:hAnsi="宋体"/>
              </w:rPr>
              <w:t>400</w:t>
            </w:r>
            <w:r>
              <w:rPr>
                <w:rFonts w:hint="eastAsia" w:hAnsi="宋体"/>
              </w:rPr>
              <w:t>。</w:t>
            </w:r>
          </w:p>
          <w:p w14:paraId="2EE4F205">
            <w:pPr>
              <w:pStyle w:val="72"/>
              <w:ind w:firstLine="420"/>
              <w:rPr>
                <w:rFonts w:hint="eastAsia" w:hAnsi="宋体" w:cs="Times New Roman"/>
              </w:rPr>
            </w:pPr>
            <w:r>
              <w:rPr>
                <w:rFonts w:hint="eastAsia" w:hAnsi="宋体"/>
              </w:rPr>
              <w:t>示例3：高阻尼橡胶隔震支座、有效直径</w:t>
            </w:r>
            <w:r>
              <w:rPr>
                <w:rFonts w:hAnsi="宋体"/>
              </w:rPr>
              <w:t>600mm</w:t>
            </w:r>
            <w:r>
              <w:rPr>
                <w:rFonts w:hint="eastAsia" w:hAnsi="宋体"/>
                <w:u w:val="single"/>
              </w:rPr>
              <w:t>、构造II型</w:t>
            </w:r>
            <w:r>
              <w:rPr>
                <w:rFonts w:hint="eastAsia" w:hAnsi="宋体"/>
              </w:rPr>
              <w:t>，标记为：</w:t>
            </w:r>
            <w:r>
              <w:rPr>
                <w:rFonts w:hAnsi="宋体"/>
              </w:rPr>
              <w:t>HDR</w:t>
            </w:r>
            <w:r>
              <w:rPr>
                <w:rFonts w:hint="eastAsia" w:hAnsi="宋体"/>
                <w:u w:val="single"/>
              </w:rPr>
              <w:t xml:space="preserve">-II </w:t>
            </w:r>
            <w:r>
              <w:rPr>
                <w:rFonts w:hAnsi="宋体"/>
                <w:bdr w:val="single" w:color="auto" w:sz="4" w:space="0"/>
              </w:rPr>
              <w:t>4</w:t>
            </w:r>
            <w:r>
              <w:rPr>
                <w:rFonts w:hint="eastAsia" w:hAnsi="宋体"/>
              </w:rPr>
              <w:t>60</w:t>
            </w:r>
            <w:r>
              <w:rPr>
                <w:rFonts w:hAnsi="宋体"/>
              </w:rPr>
              <w:t>0</w:t>
            </w:r>
            <w:r>
              <w:rPr>
                <w:rFonts w:hint="eastAsia" w:hAnsi="宋体"/>
              </w:rPr>
              <w:t>。</w:t>
            </w:r>
          </w:p>
          <w:p w14:paraId="20256BAE">
            <w:pPr>
              <w:snapToGrid w:val="0"/>
              <w:spacing w:line="360" w:lineRule="auto"/>
            </w:pPr>
            <w:r>
              <w:rPr>
                <w:rFonts w:hint="eastAsia" w:hAnsi="宋体"/>
              </w:rPr>
              <w:t>示例4：天然橡胶隔震支座、矩形支座尺寸</w:t>
            </w:r>
            <w:r>
              <w:rPr>
                <w:rFonts w:hAnsi="宋体"/>
              </w:rPr>
              <w:t>500mm</w:t>
            </w:r>
            <w:r>
              <w:rPr>
                <w:rFonts w:hint="eastAsia" w:hAnsi="宋体"/>
              </w:rPr>
              <w:t>×</w:t>
            </w:r>
            <w:r>
              <w:rPr>
                <w:rFonts w:hAnsi="宋体"/>
              </w:rPr>
              <w:t>600mm</w:t>
            </w:r>
            <w:r>
              <w:rPr>
                <w:rFonts w:hint="eastAsia" w:hAnsi="宋体"/>
                <w:u w:val="single"/>
              </w:rPr>
              <w:t>、构造I型</w:t>
            </w:r>
            <w:r>
              <w:rPr>
                <w:rFonts w:hint="eastAsia" w:hAnsi="宋体"/>
              </w:rPr>
              <w:t>，标记为：</w:t>
            </w:r>
            <w:r>
              <w:rPr>
                <w:rFonts w:hAnsi="宋体"/>
              </w:rPr>
              <w:t>LNR</w:t>
            </w:r>
            <w:r>
              <w:rPr>
                <w:rFonts w:hint="eastAsia" w:hAnsi="宋体"/>
                <w:u w:val="single"/>
              </w:rPr>
              <w:t xml:space="preserve">-I </w:t>
            </w:r>
            <w:r>
              <w:rPr>
                <w:rFonts w:hAnsi="宋体"/>
              </w:rPr>
              <w:t>500</w:t>
            </w:r>
            <w:r>
              <w:rPr>
                <w:rFonts w:hint="eastAsia" w:hAnsi="宋体"/>
              </w:rPr>
              <w:t>×</w:t>
            </w:r>
            <w:r>
              <w:rPr>
                <w:rFonts w:hAnsi="宋体"/>
              </w:rPr>
              <w:t>600</w:t>
            </w:r>
            <w:r>
              <w:rPr>
                <w:rFonts w:hint="eastAsia" w:hAnsi="宋体"/>
              </w:rPr>
              <w:t>。</w:t>
            </w:r>
          </w:p>
        </w:tc>
      </w:tr>
      <w:tr w14:paraId="36E02C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tcPr>
          <w:p w14:paraId="6FCF96C4">
            <w:pPr>
              <w:pStyle w:val="71"/>
              <w:numPr>
                <w:ilvl w:val="1"/>
                <w:numId w:val="0"/>
              </w:numPr>
              <w:spacing w:before="161" w:after="161"/>
              <w:jc w:val="center"/>
              <w:rPr>
                <w:rFonts w:hint="eastAsia" w:ascii="Times New Roman" w:cs="Times New Roman"/>
                <w:b/>
                <w:sz w:val="24"/>
                <w:szCs w:val="28"/>
              </w:rPr>
            </w:pPr>
            <w:bookmarkStart w:id="7" w:name="_Toc494201301"/>
            <w:r>
              <w:rPr>
                <w:rFonts w:hint="eastAsia" w:ascii="Times New Roman" w:cs="Times New Roman"/>
                <w:b/>
                <w:sz w:val="24"/>
                <w:szCs w:val="28"/>
              </w:rPr>
              <w:t>5 一般要求</w:t>
            </w:r>
            <w:bookmarkEnd w:id="7"/>
          </w:p>
        </w:tc>
        <w:tc>
          <w:tcPr>
            <w:tcW w:w="5126" w:type="dxa"/>
            <w:vAlign w:val="center"/>
          </w:tcPr>
          <w:p w14:paraId="09D7CD00">
            <w:pPr>
              <w:pStyle w:val="71"/>
              <w:numPr>
                <w:ilvl w:val="1"/>
                <w:numId w:val="0"/>
              </w:numPr>
              <w:spacing w:before="161" w:after="161"/>
              <w:jc w:val="center"/>
              <w:rPr>
                <w:rFonts w:hint="eastAsia" w:ascii="Times New Roman" w:cs="Times New Roman"/>
                <w:b/>
                <w:sz w:val="24"/>
                <w:szCs w:val="28"/>
              </w:rPr>
            </w:pPr>
            <w:r>
              <w:rPr>
                <w:rFonts w:hint="eastAsia" w:ascii="Times New Roman" w:cs="Times New Roman"/>
                <w:b/>
                <w:sz w:val="24"/>
                <w:szCs w:val="28"/>
              </w:rPr>
              <w:t>5 一般要求</w:t>
            </w:r>
          </w:p>
        </w:tc>
      </w:tr>
      <w:tr w14:paraId="2213C5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tcPr>
          <w:p w14:paraId="51229579">
            <w:pPr>
              <w:pStyle w:val="73"/>
              <w:numPr>
                <w:ilvl w:val="2"/>
                <w:numId w:val="0"/>
              </w:numPr>
              <w:rPr>
                <w:rFonts w:hint="eastAsia" w:ascii="宋体" w:hAnsi="宋体" w:eastAsia="宋体" w:cs="宋体"/>
              </w:rPr>
            </w:pPr>
            <w:r>
              <w:rPr>
                <w:rFonts w:hint="eastAsia" w:ascii="宋体" w:hAnsi="宋体" w:eastAsia="宋体" w:cs="宋体"/>
              </w:rPr>
              <w:t>5.1结构</w:t>
            </w:r>
          </w:p>
          <w:p w14:paraId="36CD323A">
            <w:pPr>
              <w:pStyle w:val="71"/>
              <w:numPr>
                <w:ilvl w:val="1"/>
                <w:numId w:val="0"/>
              </w:numPr>
              <w:spacing w:before="161" w:after="161"/>
              <w:ind w:firstLine="420" w:firstLineChars="200"/>
              <w:jc w:val="left"/>
              <w:rPr>
                <w:rFonts w:ascii="Times New Roman" w:cs="Times New Roman"/>
                <w:b/>
                <w:sz w:val="24"/>
                <w:szCs w:val="28"/>
              </w:rPr>
            </w:pPr>
            <w:r>
              <w:rPr>
                <w:rFonts w:hint="eastAsia" w:ascii="宋体" w:hAnsi="宋体" w:eastAsia="宋体" w:cs="宋体"/>
              </w:rPr>
              <w:t>不同使用要求的建筑隔震橡胶支座可有不同的叠层结构、尺寸、制造工艺和配方设计。建筑隔震橡胶支座应满足所需要的竖向承载力、竖向和水平刚度、水平变形能力、阻尼比等性能要求，并应具有不少于60年的使用寿命。</w:t>
            </w:r>
          </w:p>
        </w:tc>
        <w:tc>
          <w:tcPr>
            <w:tcW w:w="5126" w:type="dxa"/>
            <w:vAlign w:val="center"/>
          </w:tcPr>
          <w:p w14:paraId="790CAACA">
            <w:pPr>
              <w:pStyle w:val="73"/>
              <w:numPr>
                <w:ilvl w:val="2"/>
                <w:numId w:val="0"/>
              </w:numPr>
              <w:rPr>
                <w:rFonts w:hint="eastAsia" w:ascii="宋体" w:hAnsi="宋体" w:eastAsia="宋体" w:cs="宋体"/>
              </w:rPr>
            </w:pPr>
            <w:r>
              <w:rPr>
                <w:rFonts w:hint="eastAsia" w:ascii="宋体" w:hAnsi="宋体" w:eastAsia="宋体" w:cs="宋体"/>
              </w:rPr>
              <w:t>5.1</w:t>
            </w:r>
            <w:r>
              <w:rPr>
                <w:rFonts w:hint="eastAsia" w:ascii="宋体" w:hAnsi="宋体" w:eastAsia="宋体" w:cs="宋体"/>
                <w:bdr w:val="single" w:color="auto" w:sz="4" w:space="0"/>
              </w:rPr>
              <w:t>结构</w:t>
            </w:r>
            <w:r>
              <w:rPr>
                <w:rFonts w:hint="eastAsia" w:ascii="宋体" w:hAnsi="宋体" w:eastAsia="宋体" w:cs="宋体"/>
                <w:u w:val="single"/>
              </w:rPr>
              <w:t>支座设计</w:t>
            </w:r>
          </w:p>
          <w:p w14:paraId="760111C6">
            <w:pPr>
              <w:pStyle w:val="73"/>
              <w:numPr>
                <w:ilvl w:val="2"/>
                <w:numId w:val="0"/>
              </w:numPr>
              <w:ind w:firstLine="420" w:firstLineChars="200"/>
              <w:rPr>
                <w:b/>
                <w:sz w:val="24"/>
                <w:szCs w:val="28"/>
              </w:rPr>
            </w:pPr>
            <w:r>
              <w:rPr>
                <w:rFonts w:hint="eastAsia" w:ascii="宋体" w:hAnsi="宋体" w:eastAsia="宋体" w:cs="宋体"/>
              </w:rPr>
              <w:t>不同使用要求的建筑隔震橡胶支座可有不同的叠层结构、尺寸、制造工艺和配方设计。建筑隔震橡胶支座应满足所需要的竖向承载力、竖向和水平刚度、水平变形能力、阻尼比等性能要求</w:t>
            </w:r>
            <w:r>
              <w:rPr>
                <w:rFonts w:hint="eastAsia" w:ascii="宋体" w:hAnsi="宋体" w:eastAsia="宋体" w:cs="宋体"/>
                <w:bdr w:val="single" w:color="auto" w:sz="4" w:space="0"/>
              </w:rPr>
              <w:t>，并应具有</w:t>
            </w:r>
            <w:r>
              <w:rPr>
                <w:rFonts w:hint="eastAsia" w:ascii="宋体" w:hAnsi="宋体" w:eastAsia="宋体" w:cs="宋体"/>
                <w:u w:val="single"/>
              </w:rPr>
              <w:t>。设计工作年限不大于50年的建筑，支座应</w:t>
            </w:r>
            <w:r>
              <w:rPr>
                <w:rFonts w:hint="eastAsia" w:ascii="宋体" w:hAnsi="宋体" w:eastAsia="宋体" w:cs="宋体"/>
              </w:rPr>
              <w:t>不少于60年的使用寿命。</w:t>
            </w:r>
            <w:r>
              <w:rPr>
                <w:rFonts w:hint="eastAsia" w:ascii="宋体" w:hAnsi="宋体" w:eastAsia="宋体" w:cs="宋体"/>
                <w:u w:val="single"/>
              </w:rPr>
              <w:t>设计工作年限大于50年的建筑，支座设计使用寿命应专门研究。建筑隔震橡胶支座的设计除应符合本标准外，尚应符合国家现行相关标准的规定。</w:t>
            </w:r>
          </w:p>
        </w:tc>
      </w:tr>
      <w:tr w14:paraId="0F9EA8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tcPr>
          <w:p w14:paraId="6B9260B9">
            <w:pPr>
              <w:pStyle w:val="73"/>
              <w:numPr>
                <w:ilvl w:val="2"/>
                <w:numId w:val="0"/>
              </w:numPr>
              <w:rPr>
                <w:rFonts w:hint="eastAsia" w:ascii="宋体" w:hAnsi="宋体" w:eastAsia="宋体" w:cs="宋体"/>
              </w:rPr>
            </w:pPr>
            <w:r>
              <w:rPr>
                <w:rFonts w:hint="eastAsia" w:ascii="宋体" w:hAnsi="宋体" w:eastAsia="宋体" w:cs="宋体"/>
              </w:rPr>
              <w:t>5.2形状系数</w:t>
            </w:r>
          </w:p>
          <w:p w14:paraId="699576DD">
            <w:pPr>
              <w:pStyle w:val="71"/>
              <w:numPr>
                <w:ilvl w:val="1"/>
                <w:numId w:val="0"/>
              </w:numPr>
              <w:spacing w:before="161" w:after="161"/>
              <w:ind w:firstLine="420" w:firstLineChars="200"/>
              <w:jc w:val="left"/>
              <w:rPr>
                <w:rFonts w:hint="eastAsia" w:ascii="宋体" w:hAnsi="宋体" w:eastAsia="宋体" w:cs="宋体"/>
              </w:rPr>
            </w:pPr>
            <w:r>
              <w:rPr>
                <w:rFonts w:hint="eastAsia" w:ascii="宋体" w:hAnsi="宋体" w:eastAsia="宋体" w:cs="宋体"/>
              </w:rPr>
              <w:t>建筑隔震橡胶支座第一形状系数S</w:t>
            </w:r>
            <w:r>
              <w:rPr>
                <w:rFonts w:hint="eastAsia" w:ascii="宋体" w:hAnsi="宋体" w:eastAsia="宋体" w:cs="宋体"/>
                <w:vertAlign w:val="subscript"/>
              </w:rPr>
              <w:t>1</w:t>
            </w:r>
            <w:r>
              <w:rPr>
                <w:rFonts w:hint="eastAsia" w:ascii="宋体" w:hAnsi="宋体" w:eastAsia="宋体" w:cs="宋体"/>
              </w:rPr>
              <w:t>不应小于15，第二形状系数S</w:t>
            </w:r>
            <w:r>
              <w:rPr>
                <w:rFonts w:hint="eastAsia" w:ascii="宋体" w:hAnsi="宋体" w:eastAsia="宋体" w:cs="宋体"/>
                <w:vertAlign w:val="subscript"/>
              </w:rPr>
              <w:t>2</w:t>
            </w:r>
            <w:r>
              <w:rPr>
                <w:rFonts w:hint="eastAsia" w:ascii="宋体" w:hAnsi="宋体" w:eastAsia="宋体" w:cs="宋体"/>
              </w:rPr>
              <w:t>不应小于3且不宜小于5。当S</w:t>
            </w:r>
            <w:r>
              <w:rPr>
                <w:rFonts w:hint="eastAsia" w:ascii="宋体" w:hAnsi="宋体" w:eastAsia="宋体" w:cs="宋体"/>
                <w:vertAlign w:val="subscript"/>
              </w:rPr>
              <w:t>2</w:t>
            </w:r>
            <w:r>
              <w:rPr>
                <w:rFonts w:hint="eastAsia" w:ascii="宋体" w:hAnsi="宋体" w:eastAsia="宋体" w:cs="宋体"/>
              </w:rPr>
              <w:t>小于5时，应降低支座压应力限值：S</w:t>
            </w:r>
            <w:r>
              <w:rPr>
                <w:rFonts w:hint="eastAsia" w:ascii="宋体" w:hAnsi="宋体" w:eastAsia="宋体" w:cs="宋体"/>
                <w:vertAlign w:val="subscript"/>
              </w:rPr>
              <w:t>2</w:t>
            </w:r>
            <w:r>
              <w:rPr>
                <w:rFonts w:hint="eastAsia" w:ascii="宋体" w:hAnsi="宋体" w:eastAsia="宋体" w:cs="宋体"/>
              </w:rPr>
              <w:t>小于5且不小于4时，降低20%，S</w:t>
            </w:r>
            <w:r>
              <w:rPr>
                <w:rFonts w:hint="eastAsia" w:ascii="宋体" w:hAnsi="宋体" w:eastAsia="宋体" w:cs="宋体"/>
                <w:vertAlign w:val="subscript"/>
              </w:rPr>
              <w:t>2</w:t>
            </w:r>
            <w:r>
              <w:rPr>
                <w:rFonts w:hint="eastAsia" w:ascii="宋体" w:hAnsi="宋体" w:eastAsia="宋体" w:cs="宋体"/>
              </w:rPr>
              <w:t>小于4且不小于3时，降低40%。</w:t>
            </w:r>
          </w:p>
        </w:tc>
        <w:tc>
          <w:tcPr>
            <w:tcW w:w="5126" w:type="dxa"/>
          </w:tcPr>
          <w:p w14:paraId="25FDFE96">
            <w:pPr>
              <w:pStyle w:val="73"/>
              <w:numPr>
                <w:ilvl w:val="2"/>
                <w:numId w:val="0"/>
              </w:numPr>
              <w:jc w:val="both"/>
              <w:rPr>
                <w:rFonts w:hint="eastAsia" w:ascii="宋体" w:hAnsi="宋体" w:eastAsia="宋体" w:cs="宋体"/>
              </w:rPr>
            </w:pPr>
            <w:r>
              <w:rPr>
                <w:rFonts w:hint="eastAsia" w:ascii="宋体" w:hAnsi="宋体" w:eastAsia="宋体" w:cs="宋体"/>
              </w:rPr>
              <w:t>5.2形状系数</w:t>
            </w:r>
          </w:p>
          <w:p w14:paraId="1C1C9577">
            <w:pPr>
              <w:pStyle w:val="73"/>
              <w:numPr>
                <w:ilvl w:val="2"/>
                <w:numId w:val="0"/>
              </w:numPr>
              <w:ind w:firstLine="420" w:firstLineChars="200"/>
              <w:jc w:val="both"/>
              <w:rPr>
                <w:rFonts w:hint="eastAsia" w:ascii="宋体" w:hAnsi="宋体" w:eastAsia="宋体" w:cs="宋体"/>
              </w:rPr>
            </w:pPr>
            <w:r>
              <w:rPr>
                <w:rFonts w:hint="eastAsia" w:ascii="宋体" w:hAnsi="宋体" w:eastAsia="宋体" w:cs="宋体"/>
              </w:rPr>
              <w:t>建筑隔震橡胶支座第一形状系数S</w:t>
            </w:r>
            <w:r>
              <w:rPr>
                <w:rFonts w:hint="eastAsia" w:ascii="宋体" w:hAnsi="宋体" w:eastAsia="宋体" w:cs="宋体"/>
                <w:vertAlign w:val="subscript"/>
              </w:rPr>
              <w:t>1</w:t>
            </w:r>
            <w:r>
              <w:rPr>
                <w:rFonts w:hint="eastAsia" w:ascii="宋体" w:hAnsi="宋体" w:eastAsia="宋体" w:cs="宋体"/>
              </w:rPr>
              <w:t>不应小于15，第二形状系数S</w:t>
            </w:r>
            <w:r>
              <w:rPr>
                <w:rFonts w:hint="eastAsia" w:ascii="宋体" w:hAnsi="宋体" w:eastAsia="宋体" w:cs="宋体"/>
                <w:vertAlign w:val="subscript"/>
              </w:rPr>
              <w:t>2</w:t>
            </w:r>
            <w:r>
              <w:rPr>
                <w:rFonts w:hint="eastAsia" w:ascii="宋体" w:hAnsi="宋体" w:eastAsia="宋体" w:cs="宋体"/>
              </w:rPr>
              <w:t>不应小于3</w:t>
            </w:r>
            <w:r>
              <w:rPr>
                <w:rFonts w:hint="eastAsia" w:ascii="宋体" w:hAnsi="宋体" w:eastAsia="宋体" w:cs="宋体"/>
                <w:bdr w:val="single" w:color="auto" w:sz="4" w:space="0"/>
              </w:rPr>
              <w:t>且</w:t>
            </w:r>
            <w:r>
              <w:rPr>
                <w:rFonts w:hint="eastAsia" w:ascii="宋体" w:hAnsi="宋体" w:eastAsia="宋体" w:cs="宋体"/>
                <w:u w:val="single"/>
              </w:rPr>
              <w:t>、</w:t>
            </w:r>
            <w:r>
              <w:rPr>
                <w:rFonts w:hint="eastAsia" w:ascii="宋体" w:hAnsi="宋体" w:eastAsia="宋体" w:cs="宋体"/>
              </w:rPr>
              <w:t>不宜小于5。当S</w:t>
            </w:r>
            <w:r>
              <w:rPr>
                <w:rFonts w:hint="eastAsia" w:ascii="宋体" w:hAnsi="宋体" w:eastAsia="宋体" w:cs="宋体"/>
                <w:vertAlign w:val="subscript"/>
              </w:rPr>
              <w:t>2</w:t>
            </w:r>
            <w:r>
              <w:rPr>
                <w:rFonts w:hint="eastAsia" w:ascii="宋体" w:hAnsi="宋体" w:eastAsia="宋体" w:cs="宋体"/>
              </w:rPr>
              <w:t>小于5时</w:t>
            </w:r>
            <w:r>
              <w:rPr>
                <w:rFonts w:hint="eastAsia" w:ascii="宋体" w:hAnsi="宋体" w:eastAsia="宋体" w:cs="宋体"/>
                <w:bdr w:val="single" w:color="auto" w:sz="4" w:space="0"/>
              </w:rPr>
              <w:t>，</w:t>
            </w:r>
            <w:r>
              <w:rPr>
                <w:rFonts w:hint="eastAsia" w:ascii="宋体" w:hAnsi="宋体" w:eastAsia="宋体" w:cs="宋体"/>
              </w:rPr>
              <w:t>应降低支座压应力限值：S</w:t>
            </w:r>
            <w:r>
              <w:rPr>
                <w:rFonts w:hint="eastAsia" w:ascii="宋体" w:hAnsi="宋体" w:eastAsia="宋体" w:cs="宋体"/>
                <w:vertAlign w:val="subscript"/>
              </w:rPr>
              <w:t>2</w:t>
            </w:r>
            <w:r>
              <w:rPr>
                <w:rFonts w:hint="eastAsia" w:ascii="宋体" w:hAnsi="宋体" w:eastAsia="宋体" w:cs="宋体"/>
              </w:rPr>
              <w:t>小于5且不小于4时</w:t>
            </w:r>
            <w:r>
              <w:rPr>
                <w:rFonts w:hint="eastAsia" w:ascii="宋体" w:hAnsi="宋体" w:eastAsia="宋体" w:cs="宋体"/>
                <w:bdr w:val="single" w:color="auto" w:sz="4" w:space="0"/>
              </w:rPr>
              <w:t>，</w:t>
            </w:r>
            <w:r>
              <w:rPr>
                <w:rFonts w:hint="eastAsia" w:ascii="宋体" w:hAnsi="宋体" w:eastAsia="宋体" w:cs="宋体"/>
              </w:rPr>
              <w:t>降低20%，</w:t>
            </w:r>
            <w:r>
              <w:rPr>
                <w:rFonts w:hint="eastAsia" w:ascii="宋体" w:hAnsi="宋体" w:eastAsia="宋体" w:cs="宋体"/>
                <w:u w:val="single"/>
              </w:rPr>
              <w:t>当</w:t>
            </w:r>
            <w:r>
              <w:rPr>
                <w:rFonts w:hint="eastAsia" w:ascii="宋体" w:hAnsi="宋体" w:eastAsia="宋体" w:cs="宋体"/>
              </w:rPr>
              <w:t>S</w:t>
            </w:r>
            <w:r>
              <w:rPr>
                <w:rFonts w:hint="eastAsia" w:ascii="宋体" w:hAnsi="宋体" w:eastAsia="宋体" w:cs="宋体"/>
                <w:vertAlign w:val="subscript"/>
              </w:rPr>
              <w:t>2</w:t>
            </w:r>
            <w:r>
              <w:rPr>
                <w:rFonts w:hint="eastAsia" w:ascii="宋体" w:hAnsi="宋体" w:eastAsia="宋体" w:cs="宋体"/>
              </w:rPr>
              <w:t>小于4</w:t>
            </w:r>
            <w:r>
              <w:rPr>
                <w:rFonts w:hint="eastAsia" w:ascii="宋体" w:hAnsi="宋体" w:eastAsia="宋体" w:cs="宋体"/>
                <w:bdr w:val="single" w:color="auto" w:sz="4" w:space="0"/>
              </w:rPr>
              <w:t>且</w:t>
            </w:r>
            <w:r>
              <w:rPr>
                <w:rFonts w:hint="eastAsia" w:ascii="宋体" w:hAnsi="宋体" w:eastAsia="宋体" w:cs="宋体"/>
              </w:rPr>
              <w:t>不小于3时</w:t>
            </w:r>
            <w:r>
              <w:rPr>
                <w:rFonts w:hint="eastAsia" w:ascii="宋体" w:hAnsi="宋体" w:eastAsia="宋体" w:cs="宋体"/>
                <w:bdr w:val="single" w:color="auto" w:sz="4" w:space="0"/>
              </w:rPr>
              <w:t>，</w:t>
            </w:r>
            <w:r>
              <w:rPr>
                <w:rFonts w:hint="eastAsia" w:ascii="宋体" w:hAnsi="宋体" w:eastAsia="宋体" w:cs="宋体"/>
              </w:rPr>
              <w:t>降低40%。</w:t>
            </w:r>
          </w:p>
        </w:tc>
      </w:tr>
      <w:tr w14:paraId="1220BC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tcPr>
          <w:p w14:paraId="54C497B8">
            <w:pPr>
              <w:pStyle w:val="73"/>
              <w:numPr>
                <w:ilvl w:val="2"/>
                <w:numId w:val="0"/>
              </w:numPr>
              <w:ind w:firstLine="420" w:firstLineChars="200"/>
              <w:jc w:val="both"/>
            </w:pPr>
            <w:r>
              <w:rPr>
                <w:rFonts w:hint="eastAsia"/>
              </w:rPr>
              <w:t>5.3 支座常用</w:t>
            </w:r>
            <w:r>
              <w:t>尺寸</w:t>
            </w:r>
          </w:p>
          <w:p w14:paraId="49CAB517">
            <w:pPr>
              <w:ind w:firstLine="420" w:firstLineChars="200"/>
              <w:rPr>
                <w:rFonts w:eastAsia="黑体"/>
                <w:kern w:val="0"/>
              </w:rPr>
            </w:pPr>
            <w:r>
              <w:rPr>
                <w:rFonts w:hint="eastAsia" w:eastAsia="黑体"/>
                <w:kern w:val="0"/>
              </w:rPr>
              <w:t>天然橡胶支座和铅芯橡胶支座常用尺寸要求见表</w:t>
            </w:r>
            <w:r>
              <w:rPr>
                <w:rFonts w:eastAsia="黑体"/>
                <w:kern w:val="0"/>
              </w:rPr>
              <w:t>1</w:t>
            </w:r>
            <w:r>
              <w:rPr>
                <w:rFonts w:hint="eastAsia" w:eastAsia="黑体"/>
                <w:kern w:val="0"/>
              </w:rPr>
              <w:t>。</w:t>
            </w:r>
          </w:p>
          <w:p w14:paraId="7FDCF424">
            <w:pPr>
              <w:ind w:firstLine="420" w:firstLineChars="200"/>
              <w:rPr>
                <w:rFonts w:eastAsia="黑体"/>
                <w:kern w:val="0"/>
              </w:rPr>
            </w:pPr>
          </w:p>
          <w:p w14:paraId="3B3EB9A2">
            <w:pPr>
              <w:ind w:firstLine="420" w:firstLineChars="200"/>
              <w:rPr>
                <w:rFonts w:eastAsia="黑体"/>
                <w:kern w:val="0"/>
              </w:rPr>
            </w:pPr>
          </w:p>
          <w:p w14:paraId="7DFC44C6">
            <w:pPr>
              <w:ind w:firstLine="420" w:firstLineChars="200"/>
              <w:rPr>
                <w:rFonts w:eastAsia="黑体"/>
                <w:kern w:val="0"/>
              </w:rPr>
            </w:pPr>
            <w:r>
              <w:rPr>
                <w:rFonts w:hint="eastAsia" w:eastAsia="黑体"/>
                <w:kern w:val="0"/>
              </w:rPr>
              <w:t>表</w:t>
            </w:r>
            <w:r>
              <w:rPr>
                <w:rFonts w:eastAsia="黑体"/>
                <w:kern w:val="0"/>
              </w:rPr>
              <w:t xml:space="preserve">1 </w:t>
            </w:r>
            <w:r>
              <w:rPr>
                <w:rFonts w:hint="eastAsia" w:eastAsia="黑体"/>
                <w:kern w:val="0"/>
              </w:rPr>
              <w:t>支座常用尺寸              单位</w:t>
            </w:r>
            <w:r>
              <w:rPr>
                <w:rFonts w:eastAsia="黑体"/>
                <w:kern w:val="0"/>
              </w:rPr>
              <w:t>为毫米</w:t>
            </w:r>
          </w:p>
          <w:p w14:paraId="51E76082">
            <w:pPr>
              <w:pStyle w:val="72"/>
              <w:ind w:firstLine="420"/>
              <w:rPr>
                <w:rFonts w:ascii="Times New Roman" w:eastAsia="黑体" w:cs="Times New Roman"/>
              </w:rPr>
            </w:pPr>
            <w:r>
              <w:rPr>
                <w:rFonts w:ascii="Times New Roman" w:eastAsia="黑体" w:cs="Times New Roman"/>
              </w:rPr>
              <w:drawing>
                <wp:inline distT="0" distB="0" distL="114300" distR="114300">
                  <wp:extent cx="3101340" cy="2952115"/>
                  <wp:effectExtent l="0" t="0" r="3810" b="635"/>
                  <wp:docPr id="2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5"/>
                          <pic:cNvPicPr>
                            <a:picLocks noChangeAspect="1"/>
                          </pic:cNvPicPr>
                        </pic:nvPicPr>
                        <pic:blipFill>
                          <a:blip r:embed="rId16"/>
                          <a:stretch>
                            <a:fillRect/>
                          </a:stretch>
                        </pic:blipFill>
                        <pic:spPr>
                          <a:xfrm>
                            <a:off x="0" y="0"/>
                            <a:ext cx="3101340" cy="2952115"/>
                          </a:xfrm>
                          <a:prstGeom prst="rect">
                            <a:avLst/>
                          </a:prstGeom>
                          <a:noFill/>
                          <a:ln>
                            <a:noFill/>
                          </a:ln>
                        </pic:spPr>
                      </pic:pic>
                    </a:graphicData>
                  </a:graphic>
                </wp:inline>
              </w:drawing>
            </w:r>
          </w:p>
        </w:tc>
        <w:tc>
          <w:tcPr>
            <w:tcW w:w="5126" w:type="dxa"/>
          </w:tcPr>
          <w:p w14:paraId="346E2961">
            <w:pPr>
              <w:pStyle w:val="73"/>
              <w:numPr>
                <w:ilvl w:val="2"/>
                <w:numId w:val="0"/>
              </w:numPr>
              <w:jc w:val="both"/>
            </w:pPr>
            <w:r>
              <w:rPr>
                <w:rFonts w:hint="eastAsia"/>
              </w:rPr>
              <w:t>5.3 支座常用</w:t>
            </w:r>
            <w:r>
              <w:t>尺寸</w:t>
            </w:r>
          </w:p>
          <w:p w14:paraId="01363307">
            <w:pPr>
              <w:ind w:firstLine="420" w:firstLineChars="200"/>
            </w:pPr>
            <w:r>
              <w:rPr>
                <w:rFonts w:hint="eastAsia"/>
              </w:rPr>
              <w:t>天然橡胶支座和铅芯橡胶支座常用尺寸要求见表</w:t>
            </w:r>
            <w:r>
              <w:t>1</w:t>
            </w:r>
            <w:r>
              <w:rPr>
                <w:rFonts w:hint="eastAsia"/>
              </w:rPr>
              <w:t>。</w:t>
            </w:r>
          </w:p>
          <w:p w14:paraId="7C4BAD4C"/>
          <w:p w14:paraId="7ADC7AF3">
            <w:pPr>
              <w:rPr>
                <w:rFonts w:hint="eastAsia"/>
              </w:rPr>
            </w:pPr>
          </w:p>
          <w:p w14:paraId="7E444683">
            <w:pPr>
              <w:pStyle w:val="73"/>
              <w:numPr>
                <w:ilvl w:val="2"/>
                <w:numId w:val="0"/>
              </w:numPr>
              <w:ind w:firstLine="420" w:firstLineChars="200"/>
              <w:jc w:val="both"/>
            </w:pPr>
            <w:r>
              <w:rPr>
                <w:rFonts w:hint="eastAsia"/>
              </w:rPr>
              <w:t>表</w:t>
            </w:r>
            <w:r>
              <w:rPr>
                <w:bdr w:val="single" w:color="auto" w:sz="4" w:space="0"/>
              </w:rPr>
              <w:t>1</w:t>
            </w:r>
            <w:r>
              <w:rPr>
                <w:rFonts w:hint="eastAsia"/>
                <w:u w:val="single"/>
              </w:rPr>
              <w:t>2</w:t>
            </w:r>
            <w:r>
              <w:t xml:space="preserve"> </w:t>
            </w:r>
            <w:r>
              <w:rPr>
                <w:rFonts w:hint="eastAsia"/>
              </w:rPr>
              <w:t>支座常用尺寸           单位</w:t>
            </w:r>
            <w:r>
              <w:rPr>
                <w:bdr w:val="single" w:color="auto" w:sz="4" w:space="0"/>
              </w:rPr>
              <w:t>为毫米</w:t>
            </w:r>
            <w:r>
              <w:rPr>
                <w:rFonts w:hint="eastAsia"/>
              </w:rPr>
              <w:t>：</w:t>
            </w:r>
            <w:r>
              <w:rPr>
                <w:rFonts w:hint="eastAsia"/>
                <w:u w:val="single"/>
              </w:rPr>
              <w:t>mm</w:t>
            </w:r>
          </w:p>
          <w:p w14:paraId="1C52089A">
            <w:pPr>
              <w:pStyle w:val="72"/>
              <w:ind w:firstLine="420"/>
              <w:rPr>
                <w:b/>
                <w:bCs/>
              </w:rPr>
            </w:pPr>
            <w:r>
              <w:drawing>
                <wp:inline distT="0" distB="0" distL="114300" distR="114300">
                  <wp:extent cx="3116580" cy="2985135"/>
                  <wp:effectExtent l="0" t="0" r="7620" b="5715"/>
                  <wp:docPr id="28"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6"/>
                          <pic:cNvPicPr>
                            <a:picLocks noChangeAspect="1"/>
                          </pic:cNvPicPr>
                        </pic:nvPicPr>
                        <pic:blipFill>
                          <a:blip r:embed="rId17"/>
                          <a:stretch>
                            <a:fillRect/>
                          </a:stretch>
                        </pic:blipFill>
                        <pic:spPr>
                          <a:xfrm>
                            <a:off x="0" y="0"/>
                            <a:ext cx="3116580" cy="2985135"/>
                          </a:xfrm>
                          <a:prstGeom prst="rect">
                            <a:avLst/>
                          </a:prstGeom>
                          <a:noFill/>
                          <a:ln>
                            <a:noFill/>
                          </a:ln>
                        </pic:spPr>
                      </pic:pic>
                    </a:graphicData>
                  </a:graphic>
                </wp:inline>
              </w:drawing>
            </w:r>
          </w:p>
        </w:tc>
      </w:tr>
      <w:tr w14:paraId="35C0B7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tcPr>
          <w:p w14:paraId="0CFBFCA2">
            <w:pPr>
              <w:pStyle w:val="73"/>
              <w:numPr>
                <w:ilvl w:val="2"/>
                <w:numId w:val="0"/>
              </w:numPr>
              <w:rPr>
                <w:rFonts w:hint="eastAsia" w:ascii="黑体" w:hAnsi="黑体" w:cs="宋体"/>
              </w:rPr>
            </w:pPr>
            <w:r>
              <w:rPr>
                <w:rFonts w:hint="eastAsia" w:ascii="黑体" w:hAnsi="黑体" w:cs="宋体"/>
              </w:rPr>
              <w:t>5.4 钢板</w:t>
            </w:r>
          </w:p>
          <w:p w14:paraId="3A1778FE">
            <w:pPr>
              <w:pStyle w:val="72"/>
              <w:ind w:firstLine="420"/>
            </w:pPr>
            <w:r>
              <w:rPr>
                <w:rFonts w:hint="eastAsia"/>
              </w:rPr>
              <w:t>内部钢板应采用</w:t>
            </w:r>
            <w:r>
              <w:t>Q235</w:t>
            </w:r>
            <w:r>
              <w:rPr>
                <w:rFonts w:hint="eastAsia"/>
              </w:rPr>
              <w:t>或不低于</w:t>
            </w:r>
            <w:r>
              <w:t>Q235</w:t>
            </w:r>
            <w:r>
              <w:rPr>
                <w:rFonts w:hint="eastAsia"/>
              </w:rPr>
              <w:t>性能的钢板，且应符合</w:t>
            </w:r>
            <w:r>
              <w:t>GB 912</w:t>
            </w:r>
            <w:r>
              <w:rPr>
                <w:rFonts w:hint="eastAsia"/>
              </w:rPr>
              <w:t>的规定；封板宜采用</w:t>
            </w:r>
            <w:r>
              <w:t>Q345</w:t>
            </w:r>
            <w:r>
              <w:rPr>
                <w:rFonts w:hint="eastAsia"/>
              </w:rPr>
              <w:t>，且应符合</w:t>
            </w:r>
            <w:r>
              <w:t>GB</w:t>
            </w:r>
            <w:r>
              <w:rPr>
                <w:rFonts w:hint="eastAsia"/>
              </w:rPr>
              <w:t xml:space="preserve">/T </w:t>
            </w:r>
            <w:r>
              <w:t>3274</w:t>
            </w:r>
            <w:r>
              <w:rPr>
                <w:rFonts w:hint="eastAsia"/>
              </w:rPr>
              <w:t>的规定</w:t>
            </w:r>
          </w:p>
        </w:tc>
        <w:tc>
          <w:tcPr>
            <w:tcW w:w="5126" w:type="dxa"/>
            <w:vAlign w:val="center"/>
          </w:tcPr>
          <w:p w14:paraId="31896D35">
            <w:pPr>
              <w:pStyle w:val="73"/>
              <w:numPr>
                <w:ilvl w:val="2"/>
                <w:numId w:val="0"/>
              </w:numPr>
              <w:rPr>
                <w:rFonts w:hint="eastAsia" w:ascii="黑体" w:hAnsi="黑体" w:cs="宋体"/>
              </w:rPr>
            </w:pPr>
            <w:r>
              <w:rPr>
                <w:rFonts w:hint="eastAsia" w:ascii="黑体" w:hAnsi="黑体" w:cs="宋体"/>
              </w:rPr>
              <w:t>5.4 钢板</w:t>
            </w:r>
          </w:p>
          <w:p w14:paraId="002F684B">
            <w:pPr>
              <w:pStyle w:val="72"/>
              <w:ind w:firstLine="420"/>
            </w:pPr>
            <w:r>
              <w:rPr>
                <w:rFonts w:hint="eastAsia"/>
              </w:rPr>
              <w:t>内部钢板应采用</w:t>
            </w:r>
            <w:r>
              <w:t>Q235</w:t>
            </w:r>
            <w:r>
              <w:rPr>
                <w:rFonts w:hint="eastAsia"/>
              </w:rPr>
              <w:t>或不低于</w:t>
            </w:r>
            <w:r>
              <w:t>Q235</w:t>
            </w:r>
            <w:r>
              <w:rPr>
                <w:rFonts w:hint="eastAsia"/>
              </w:rPr>
              <w:t>性能的钢板，且应符合</w:t>
            </w:r>
            <w:r>
              <w:t>GB 912</w:t>
            </w:r>
            <w:r>
              <w:rPr>
                <w:rFonts w:hint="eastAsia"/>
              </w:rPr>
              <w:t>的规定；封板</w:t>
            </w:r>
            <w:r>
              <w:rPr>
                <w:rFonts w:hint="eastAsia"/>
                <w:u w:val="single"/>
              </w:rPr>
              <w:t>和连接板</w:t>
            </w:r>
            <w:r>
              <w:rPr>
                <w:rFonts w:hint="eastAsia"/>
              </w:rPr>
              <w:t>宜采用</w:t>
            </w:r>
            <w:r>
              <w:t>Q3</w:t>
            </w:r>
            <w:r>
              <w:rPr>
                <w:bdr w:val="single" w:color="auto" w:sz="4" w:space="0"/>
              </w:rPr>
              <w:t>4</w:t>
            </w:r>
            <w:r>
              <w:rPr>
                <w:rFonts w:hint="eastAsia"/>
                <w:u w:val="single"/>
              </w:rPr>
              <w:t>5</w:t>
            </w:r>
            <w:r>
              <w:t>5</w:t>
            </w:r>
            <w:r>
              <w:rPr>
                <w:rFonts w:hint="eastAsia"/>
              </w:rPr>
              <w:t>，且应符合</w:t>
            </w:r>
            <w:r>
              <w:t>GB</w:t>
            </w:r>
            <w:r>
              <w:rPr>
                <w:rFonts w:hint="eastAsia"/>
              </w:rPr>
              <w:t xml:space="preserve">/T </w:t>
            </w:r>
            <w:r>
              <w:t>3274</w:t>
            </w:r>
            <w:r>
              <w:rPr>
                <w:rFonts w:hint="eastAsia"/>
              </w:rPr>
              <w:t>的规定</w:t>
            </w:r>
          </w:p>
        </w:tc>
      </w:tr>
      <w:tr w14:paraId="023B4C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tcPr>
          <w:p w14:paraId="3D3F0599">
            <w:pPr>
              <w:pStyle w:val="72"/>
              <w:ind w:firstLine="420"/>
            </w:pPr>
          </w:p>
        </w:tc>
        <w:tc>
          <w:tcPr>
            <w:tcW w:w="5126" w:type="dxa"/>
            <w:vAlign w:val="center"/>
          </w:tcPr>
          <w:p w14:paraId="35C689D0">
            <w:pPr>
              <w:pStyle w:val="73"/>
              <w:numPr>
                <w:ilvl w:val="2"/>
                <w:numId w:val="0"/>
              </w:numPr>
              <w:rPr>
                <w:rFonts w:ascii="黑体" w:cs="宋体"/>
                <w:u w:val="single"/>
              </w:rPr>
            </w:pPr>
            <w:r>
              <w:rPr>
                <w:rFonts w:hint="eastAsia" w:ascii="黑体" w:cs="宋体"/>
                <w:u w:val="single"/>
              </w:rPr>
              <w:t>5.6 橡胶</w:t>
            </w:r>
          </w:p>
          <w:p w14:paraId="1CA1B221">
            <w:pPr>
              <w:pStyle w:val="72"/>
              <w:ind w:firstLine="420"/>
            </w:pPr>
            <w:r>
              <w:rPr>
                <w:rFonts w:hint="eastAsia"/>
                <w:u w:val="single"/>
              </w:rPr>
              <w:t>橡胶宜使用天然橡胶，不应使用再生胶.</w:t>
            </w:r>
          </w:p>
        </w:tc>
      </w:tr>
      <w:tr w14:paraId="4ACFC4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tcPr>
          <w:p w14:paraId="38057E2C">
            <w:pPr>
              <w:pStyle w:val="72"/>
              <w:ind w:firstLine="420"/>
            </w:pPr>
          </w:p>
        </w:tc>
        <w:tc>
          <w:tcPr>
            <w:tcW w:w="5126" w:type="dxa"/>
            <w:vAlign w:val="center"/>
          </w:tcPr>
          <w:p w14:paraId="45C625EB">
            <w:pPr>
              <w:pStyle w:val="73"/>
              <w:numPr>
                <w:ilvl w:val="2"/>
                <w:numId w:val="0"/>
              </w:numPr>
              <w:rPr>
                <w:rFonts w:ascii="黑体" w:cs="宋体"/>
                <w:u w:val="single"/>
              </w:rPr>
            </w:pPr>
            <w:r>
              <w:rPr>
                <w:rFonts w:hint="eastAsia" w:ascii="黑体" w:hAnsi="黑体" w:cs="宋体"/>
                <w:u w:val="single"/>
              </w:rPr>
              <w:t>5.7 橡胶隔震支座标准化</w:t>
            </w:r>
            <w:r>
              <w:rPr>
                <w:rFonts w:hint="eastAsia"/>
                <w:u w:val="single"/>
              </w:rPr>
              <w:t>规格及参数</w:t>
            </w:r>
          </w:p>
          <w:p w14:paraId="5DA9813C">
            <w:pPr>
              <w:pStyle w:val="72"/>
              <w:ind w:firstLine="420"/>
              <w:rPr>
                <w:u w:val="single"/>
              </w:rPr>
            </w:pPr>
            <w:r>
              <w:rPr>
                <w:rFonts w:hint="eastAsia"/>
                <w:u w:val="single"/>
              </w:rPr>
              <w:t>橡胶隔震支座标准化规格及参数应优先按附录C采用.</w:t>
            </w:r>
          </w:p>
        </w:tc>
      </w:tr>
      <w:tr w14:paraId="186BC3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tcPr>
          <w:p w14:paraId="1FC446B2">
            <w:pPr>
              <w:pStyle w:val="72"/>
              <w:ind w:firstLine="420"/>
            </w:pPr>
          </w:p>
        </w:tc>
        <w:tc>
          <w:tcPr>
            <w:tcW w:w="5126" w:type="dxa"/>
            <w:vAlign w:val="center"/>
          </w:tcPr>
          <w:p w14:paraId="47D8E405">
            <w:pPr>
              <w:pStyle w:val="73"/>
              <w:numPr>
                <w:ilvl w:val="2"/>
                <w:numId w:val="0"/>
              </w:numPr>
              <w:rPr>
                <w:rFonts w:ascii="黑体" w:cs="宋体"/>
                <w:u w:val="single"/>
              </w:rPr>
            </w:pPr>
            <w:r>
              <w:rPr>
                <w:rFonts w:hint="eastAsia" w:ascii="黑体" w:hAnsi="黑体" w:cs="宋体"/>
                <w:u w:val="single"/>
              </w:rPr>
              <w:t>5.8 计算模型</w:t>
            </w:r>
          </w:p>
          <w:p w14:paraId="66B066FC">
            <w:pPr>
              <w:pStyle w:val="72"/>
              <w:ind w:firstLine="420"/>
              <w:rPr>
                <w:u w:val="single"/>
              </w:rPr>
            </w:pPr>
            <w:r>
              <w:rPr>
                <w:rFonts w:hint="eastAsia"/>
                <w:u w:val="single"/>
              </w:rPr>
              <w:t>橡胶隔震支座计算模型的相关参数可按附录B确定.</w:t>
            </w:r>
          </w:p>
        </w:tc>
      </w:tr>
      <w:tr w14:paraId="03DE76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tcPr>
          <w:p w14:paraId="792CDD82">
            <w:pPr>
              <w:pStyle w:val="72"/>
              <w:ind w:firstLine="420"/>
            </w:pPr>
          </w:p>
        </w:tc>
        <w:tc>
          <w:tcPr>
            <w:tcW w:w="5126" w:type="dxa"/>
            <w:vAlign w:val="center"/>
          </w:tcPr>
          <w:p w14:paraId="493ABDD6">
            <w:pPr>
              <w:pStyle w:val="73"/>
              <w:numPr>
                <w:ilvl w:val="2"/>
                <w:numId w:val="0"/>
              </w:numPr>
              <w:rPr>
                <w:rFonts w:eastAsia="宋体"/>
                <w:kern w:val="2"/>
                <w:u w:val="single"/>
              </w:rPr>
            </w:pPr>
            <w:r>
              <w:rPr>
                <w:rFonts w:hint="eastAsia"/>
                <w:u w:val="single"/>
              </w:rPr>
              <w:t xml:space="preserve">5.9 防火技术措施     </w:t>
            </w:r>
            <w:r>
              <w:rPr>
                <w:rFonts w:hint="eastAsia" w:eastAsia="宋体"/>
                <w:kern w:val="2"/>
                <w:u w:val="single"/>
              </w:rPr>
              <w:t xml:space="preserve"> </w:t>
            </w:r>
          </w:p>
          <w:p w14:paraId="6D918D16">
            <w:pPr>
              <w:pStyle w:val="72"/>
              <w:ind w:firstLine="420"/>
            </w:pPr>
            <w:r>
              <w:rPr>
                <w:rFonts w:hint="eastAsia"/>
                <w:u w:val="single"/>
              </w:rPr>
              <w:t>有防火要求的橡胶隔震支座，防火措施的试验要求和试验方法按附录D采用。</w:t>
            </w:r>
          </w:p>
        </w:tc>
      </w:tr>
      <w:tr w14:paraId="41CF42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087DD9F3">
            <w:pPr>
              <w:pStyle w:val="72"/>
              <w:ind w:firstLine="482"/>
              <w:jc w:val="center"/>
            </w:pPr>
            <w:bookmarkStart w:id="8" w:name="_Toc494201302"/>
            <w:r>
              <w:rPr>
                <w:rFonts w:hint="eastAsia" w:ascii="Times New Roman" w:eastAsia="黑体" w:cs="Times New Roman"/>
                <w:b/>
                <w:sz w:val="24"/>
                <w:szCs w:val="28"/>
              </w:rPr>
              <w:t>6 要求</w:t>
            </w:r>
            <w:bookmarkEnd w:id="8"/>
          </w:p>
        </w:tc>
        <w:tc>
          <w:tcPr>
            <w:tcW w:w="5126" w:type="dxa"/>
            <w:vAlign w:val="center"/>
          </w:tcPr>
          <w:p w14:paraId="5F1EF5F9">
            <w:pPr>
              <w:pStyle w:val="72"/>
              <w:ind w:firstLine="482"/>
              <w:jc w:val="center"/>
            </w:pPr>
            <w:r>
              <w:rPr>
                <w:rFonts w:hint="eastAsia" w:ascii="Times New Roman" w:eastAsia="黑体" w:cs="Times New Roman"/>
                <w:b/>
                <w:sz w:val="24"/>
                <w:szCs w:val="28"/>
              </w:rPr>
              <w:t>6 要求</w:t>
            </w:r>
          </w:p>
        </w:tc>
      </w:tr>
      <w:tr w14:paraId="6FFA02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472C6CB5">
            <w:pPr>
              <w:pStyle w:val="73"/>
              <w:numPr>
                <w:ilvl w:val="2"/>
                <w:numId w:val="0"/>
              </w:numPr>
            </w:pPr>
            <w:r>
              <w:rPr>
                <w:rFonts w:hint="eastAsia" w:cs="黑体"/>
              </w:rPr>
              <w:t>6.1 橡胶物理机械性能</w:t>
            </w:r>
          </w:p>
          <w:p w14:paraId="0E533A18">
            <w:pPr>
              <w:pStyle w:val="72"/>
              <w:ind w:firstLine="420"/>
              <w:jc w:val="left"/>
            </w:pPr>
            <w:r>
              <w:rPr>
                <w:rFonts w:hint="eastAsia" w:hAnsi="宋体"/>
              </w:rPr>
              <w:t>橡胶支座内部橡胶的</w:t>
            </w:r>
            <w:r>
              <w:rPr>
                <w:rFonts w:hint="eastAsia"/>
              </w:rPr>
              <w:t>物理机械性能应符合表2的要求。</w:t>
            </w:r>
          </w:p>
          <w:p w14:paraId="29E85222">
            <w:pPr>
              <w:pStyle w:val="72"/>
              <w:ind w:firstLine="420"/>
              <w:jc w:val="left"/>
            </w:pPr>
            <w:r>
              <w:rPr>
                <w:rFonts w:hint="eastAsia"/>
              </w:rPr>
              <w:t>表</w:t>
            </w:r>
            <w:r>
              <w:t>2</w:t>
            </w:r>
            <w:r>
              <w:rPr>
                <w:rFonts w:hint="eastAsia"/>
              </w:rPr>
              <w:t xml:space="preserve"> </w:t>
            </w:r>
            <w:r>
              <w:t>橡胶支座内部橡胶</w:t>
            </w:r>
            <w:r>
              <w:rPr>
                <w:rFonts w:hint="eastAsia"/>
              </w:rPr>
              <w:t>的物理机械性能指标</w:t>
            </w:r>
          </w:p>
          <w:p w14:paraId="50A3AAA8">
            <w:pPr>
              <w:pStyle w:val="72"/>
              <w:ind w:firstLine="0" w:firstLineChars="0"/>
              <w:jc w:val="left"/>
            </w:pPr>
            <w:r>
              <w:drawing>
                <wp:inline distT="0" distB="0" distL="114300" distR="114300">
                  <wp:extent cx="3101340" cy="2101215"/>
                  <wp:effectExtent l="0" t="0" r="3810" b="13335"/>
                  <wp:docPr id="2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7"/>
                          <pic:cNvPicPr>
                            <a:picLocks noChangeAspect="1"/>
                          </pic:cNvPicPr>
                        </pic:nvPicPr>
                        <pic:blipFill>
                          <a:blip r:embed="rId18"/>
                          <a:stretch>
                            <a:fillRect/>
                          </a:stretch>
                        </pic:blipFill>
                        <pic:spPr>
                          <a:xfrm>
                            <a:off x="0" y="0"/>
                            <a:ext cx="3101340" cy="2101215"/>
                          </a:xfrm>
                          <a:prstGeom prst="rect">
                            <a:avLst/>
                          </a:prstGeom>
                          <a:noFill/>
                          <a:ln>
                            <a:noFill/>
                          </a:ln>
                        </pic:spPr>
                      </pic:pic>
                    </a:graphicData>
                  </a:graphic>
                </wp:inline>
              </w:drawing>
            </w:r>
          </w:p>
        </w:tc>
        <w:tc>
          <w:tcPr>
            <w:tcW w:w="5126" w:type="dxa"/>
            <w:vAlign w:val="center"/>
          </w:tcPr>
          <w:p w14:paraId="31D6D3BC">
            <w:pPr>
              <w:pStyle w:val="73"/>
              <w:numPr>
                <w:ilvl w:val="2"/>
                <w:numId w:val="0"/>
              </w:numPr>
            </w:pPr>
            <w:r>
              <w:rPr>
                <w:rFonts w:hint="eastAsia" w:cs="黑体"/>
              </w:rPr>
              <w:t>6.1 橡胶物理机械性能</w:t>
            </w:r>
          </w:p>
          <w:p w14:paraId="1985B1EF">
            <w:pPr>
              <w:pStyle w:val="72"/>
              <w:ind w:firstLine="420"/>
              <w:jc w:val="left"/>
            </w:pPr>
            <w:r>
              <w:rPr>
                <w:rFonts w:hint="eastAsia" w:hAnsi="宋体"/>
              </w:rPr>
              <w:t>橡胶支座内部橡胶的</w:t>
            </w:r>
            <w:r>
              <w:rPr>
                <w:rFonts w:hint="eastAsia"/>
              </w:rPr>
              <w:t>物理机械性能应符合表</w:t>
            </w:r>
            <w:r>
              <w:rPr>
                <w:rFonts w:hint="eastAsia"/>
                <w:bdr w:val="single" w:color="auto" w:sz="4" w:space="0"/>
              </w:rPr>
              <w:t>2</w:t>
            </w:r>
            <w:r>
              <w:rPr>
                <w:rFonts w:hint="eastAsia"/>
                <w:u w:val="single"/>
              </w:rPr>
              <w:t>3</w:t>
            </w:r>
            <w:r>
              <w:rPr>
                <w:rFonts w:hint="eastAsia"/>
              </w:rPr>
              <w:t>的要求。</w:t>
            </w:r>
          </w:p>
          <w:p w14:paraId="3907E11C">
            <w:pPr>
              <w:pStyle w:val="72"/>
              <w:ind w:firstLine="420"/>
              <w:jc w:val="left"/>
            </w:pPr>
            <w:r>
              <w:rPr>
                <w:rFonts w:hint="eastAsia"/>
              </w:rPr>
              <w:t>表</w:t>
            </w:r>
            <w:r>
              <w:rPr>
                <w:rFonts w:hint="eastAsia"/>
                <w:bdr w:val="single" w:color="auto" w:sz="4" w:space="0"/>
              </w:rPr>
              <w:t>2</w:t>
            </w:r>
            <w:r>
              <w:rPr>
                <w:rFonts w:hint="eastAsia"/>
                <w:u w:val="single"/>
              </w:rPr>
              <w:t xml:space="preserve">3 </w:t>
            </w:r>
            <w:r>
              <w:t>橡胶支座内部橡胶</w:t>
            </w:r>
            <w:r>
              <w:rPr>
                <w:rFonts w:hint="eastAsia"/>
              </w:rPr>
              <w:t>的物理机械性能指标</w:t>
            </w:r>
          </w:p>
          <w:p w14:paraId="7E53CD5A">
            <w:pPr>
              <w:pStyle w:val="72"/>
              <w:ind w:firstLine="0" w:firstLineChars="0"/>
              <w:jc w:val="left"/>
            </w:pPr>
            <w:r>
              <w:drawing>
                <wp:inline distT="0" distB="0" distL="114300" distR="114300">
                  <wp:extent cx="3116580" cy="2111375"/>
                  <wp:effectExtent l="0" t="0" r="7620" b="3175"/>
                  <wp:docPr id="3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8"/>
                          <pic:cNvPicPr>
                            <a:picLocks noChangeAspect="1"/>
                          </pic:cNvPicPr>
                        </pic:nvPicPr>
                        <pic:blipFill>
                          <a:blip r:embed="rId19"/>
                          <a:stretch>
                            <a:fillRect/>
                          </a:stretch>
                        </pic:blipFill>
                        <pic:spPr>
                          <a:xfrm>
                            <a:off x="0" y="0"/>
                            <a:ext cx="3116580" cy="2111375"/>
                          </a:xfrm>
                          <a:prstGeom prst="rect">
                            <a:avLst/>
                          </a:prstGeom>
                          <a:noFill/>
                          <a:ln>
                            <a:noFill/>
                          </a:ln>
                        </pic:spPr>
                      </pic:pic>
                    </a:graphicData>
                  </a:graphic>
                </wp:inline>
              </w:drawing>
            </w:r>
          </w:p>
        </w:tc>
      </w:tr>
      <w:tr w14:paraId="1ED40A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653594E3">
            <w:pPr>
              <w:pStyle w:val="73"/>
              <w:numPr>
                <w:ilvl w:val="2"/>
                <w:numId w:val="0"/>
              </w:numPr>
            </w:pPr>
            <w:r>
              <w:rPr>
                <w:rFonts w:hint="eastAsia" w:cs="黑体"/>
              </w:rPr>
              <w:t>6.2 外观质量</w:t>
            </w:r>
          </w:p>
          <w:p w14:paraId="539DAC7E">
            <w:pPr>
              <w:pStyle w:val="72"/>
              <w:ind w:firstLine="420"/>
              <w:rPr>
                <w:rFonts w:cs="Times New Roman"/>
              </w:rPr>
            </w:pPr>
            <w:r>
              <w:rPr>
                <w:rFonts w:hint="eastAsia"/>
              </w:rPr>
              <w:t>建筑隔震橡胶支座表面保护胶应光滑平整，外观质量应符合表</w:t>
            </w:r>
            <w:r>
              <w:t>3</w:t>
            </w:r>
            <w:r>
              <w:rPr>
                <w:rFonts w:hint="eastAsia"/>
              </w:rPr>
              <w:t>的要求。</w:t>
            </w:r>
          </w:p>
          <w:p w14:paraId="62EF4A6B">
            <w:pPr>
              <w:pStyle w:val="72"/>
              <w:ind w:firstLine="0" w:firstLineChars="0"/>
              <w:jc w:val="center"/>
            </w:pPr>
            <w:r>
              <w:rPr>
                <w:rFonts w:hint="eastAsia" w:ascii="黑体" w:hAnsi="黑体" w:eastAsia="黑体" w:cs="黑体"/>
              </w:rPr>
              <w:t>表</w:t>
            </w:r>
            <w:r>
              <w:rPr>
                <w:rFonts w:ascii="黑体" w:hAnsi="黑体" w:eastAsia="黑体" w:cs="黑体"/>
              </w:rPr>
              <w:t xml:space="preserve">3 </w:t>
            </w:r>
            <w:r>
              <w:rPr>
                <w:rFonts w:hint="eastAsia" w:ascii="黑体" w:hAnsi="黑体" w:eastAsia="黑体" w:cs="黑体"/>
              </w:rPr>
              <w:t>外观质量要求</w:t>
            </w:r>
          </w:p>
        </w:tc>
        <w:tc>
          <w:tcPr>
            <w:tcW w:w="5126" w:type="dxa"/>
            <w:vAlign w:val="center"/>
          </w:tcPr>
          <w:p w14:paraId="1106D340">
            <w:pPr>
              <w:pStyle w:val="73"/>
              <w:numPr>
                <w:ilvl w:val="2"/>
                <w:numId w:val="0"/>
              </w:numPr>
            </w:pPr>
            <w:r>
              <w:rPr>
                <w:rFonts w:hint="eastAsia" w:cs="黑体"/>
              </w:rPr>
              <w:t>6.2 外观质量</w:t>
            </w:r>
          </w:p>
          <w:p w14:paraId="4DE2F2B3">
            <w:pPr>
              <w:pStyle w:val="72"/>
              <w:ind w:firstLine="420"/>
              <w:rPr>
                <w:rFonts w:cs="Times New Roman"/>
              </w:rPr>
            </w:pPr>
            <w:r>
              <w:rPr>
                <w:rFonts w:hint="eastAsia"/>
              </w:rPr>
              <w:t>建筑隔震橡胶支座表面保护胶应光滑平整，外观质量应符合表</w:t>
            </w:r>
            <w:r>
              <w:rPr>
                <w:rFonts w:hint="eastAsia"/>
                <w:bdr w:val="single" w:color="auto" w:sz="4" w:space="0"/>
              </w:rPr>
              <w:t>3</w:t>
            </w:r>
            <w:r>
              <w:rPr>
                <w:rFonts w:hint="eastAsia"/>
                <w:u w:val="single"/>
              </w:rPr>
              <w:t>4</w:t>
            </w:r>
            <w:r>
              <w:rPr>
                <w:rFonts w:hint="eastAsia"/>
              </w:rPr>
              <w:t>的要求。</w:t>
            </w:r>
          </w:p>
          <w:p w14:paraId="16859C90">
            <w:pPr>
              <w:pStyle w:val="72"/>
              <w:ind w:firstLine="0" w:firstLineChars="0"/>
              <w:jc w:val="center"/>
            </w:pPr>
            <w:r>
              <w:rPr>
                <w:rFonts w:hint="eastAsia" w:ascii="黑体" w:hAnsi="黑体" w:eastAsia="黑体" w:cs="黑体"/>
              </w:rPr>
              <w:t>表</w:t>
            </w:r>
            <w:r>
              <w:rPr>
                <w:rFonts w:hint="eastAsia" w:ascii="黑体" w:hAnsi="黑体" w:eastAsia="黑体" w:cs="黑体"/>
                <w:bdr w:val="single" w:color="auto" w:sz="4" w:space="0"/>
              </w:rPr>
              <w:t>3</w:t>
            </w:r>
            <w:r>
              <w:rPr>
                <w:rFonts w:hint="eastAsia" w:ascii="黑体" w:hAnsi="黑体" w:eastAsia="黑体" w:cs="黑体"/>
                <w:u w:val="single"/>
              </w:rPr>
              <w:t>4</w:t>
            </w:r>
            <w:r>
              <w:rPr>
                <w:rFonts w:ascii="黑体" w:hAnsi="黑体" w:eastAsia="黑体" w:cs="黑体"/>
              </w:rPr>
              <w:t xml:space="preserve"> </w:t>
            </w:r>
            <w:r>
              <w:rPr>
                <w:rFonts w:hint="eastAsia" w:ascii="黑体" w:hAnsi="黑体" w:eastAsia="黑体" w:cs="黑体"/>
              </w:rPr>
              <w:t>外观质量要求</w:t>
            </w:r>
          </w:p>
        </w:tc>
      </w:tr>
      <w:tr w14:paraId="50B152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tcPr>
          <w:p w14:paraId="47A356DE">
            <w:pPr>
              <w:pStyle w:val="73"/>
              <w:numPr>
                <w:ilvl w:val="2"/>
                <w:numId w:val="0"/>
              </w:numPr>
              <w:jc w:val="both"/>
            </w:pPr>
            <w:r>
              <w:rPr>
                <w:rFonts w:hint="eastAsia" w:cs="黑体"/>
              </w:rPr>
              <w:t>6.3 尺寸允许偏差</w:t>
            </w:r>
          </w:p>
          <w:p w14:paraId="60486D58">
            <w:pPr>
              <w:pStyle w:val="72"/>
              <w:ind w:firstLine="420"/>
            </w:pPr>
            <w:r>
              <w:rPr>
                <w:rFonts w:hint="eastAsia"/>
              </w:rPr>
              <w:t>建筑隔震橡胶支座尺寸允许偏差应符合表</w:t>
            </w:r>
            <w:r>
              <w:t>4</w:t>
            </w:r>
            <w:r>
              <w:rPr>
                <w:rFonts w:hint="eastAsia"/>
              </w:rPr>
              <w:t>的要求。</w:t>
            </w:r>
          </w:p>
          <w:p w14:paraId="5597BBFC">
            <w:pPr>
              <w:pStyle w:val="72"/>
              <w:ind w:firstLine="0" w:firstLineChars="0"/>
              <w:jc w:val="center"/>
              <w:rPr>
                <w:rFonts w:hint="eastAsia" w:ascii="黑体" w:hAnsi="黑体" w:eastAsia="黑体" w:cs="黑体"/>
              </w:rPr>
            </w:pPr>
            <w:r>
              <w:rPr>
                <w:rFonts w:hint="eastAsia" w:ascii="黑体" w:hAnsi="黑体" w:eastAsia="黑体" w:cs="黑体"/>
              </w:rPr>
              <w:t>表</w:t>
            </w:r>
            <w:r>
              <w:rPr>
                <w:rFonts w:ascii="黑体" w:hAnsi="黑体" w:eastAsia="黑体" w:cs="黑体"/>
              </w:rPr>
              <w:t xml:space="preserve">4 </w:t>
            </w:r>
            <w:r>
              <w:rPr>
                <w:rFonts w:hint="eastAsia" w:ascii="黑体" w:hAnsi="黑体" w:eastAsia="黑体" w:cs="黑体"/>
              </w:rPr>
              <w:t>尺寸允许偏差</w:t>
            </w:r>
          </w:p>
          <w:p w14:paraId="3913856B">
            <w:pPr>
              <w:pStyle w:val="72"/>
              <w:ind w:firstLine="0" w:firstLineChars="0"/>
              <w:rPr>
                <w:rFonts w:hint="eastAsia" w:ascii="黑体" w:hAnsi="黑体" w:eastAsia="黑体" w:cs="黑体"/>
              </w:rPr>
            </w:pPr>
            <w:r>
              <w:drawing>
                <wp:inline distT="0" distB="0" distL="114300" distR="114300">
                  <wp:extent cx="3101340" cy="1905635"/>
                  <wp:effectExtent l="0" t="0" r="3810" b="18415"/>
                  <wp:docPr id="3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9"/>
                          <pic:cNvPicPr>
                            <a:picLocks noChangeAspect="1"/>
                          </pic:cNvPicPr>
                        </pic:nvPicPr>
                        <pic:blipFill>
                          <a:blip r:embed="rId20"/>
                          <a:stretch>
                            <a:fillRect/>
                          </a:stretch>
                        </pic:blipFill>
                        <pic:spPr>
                          <a:xfrm>
                            <a:off x="0" y="0"/>
                            <a:ext cx="3101340" cy="1905635"/>
                          </a:xfrm>
                          <a:prstGeom prst="rect">
                            <a:avLst/>
                          </a:prstGeom>
                          <a:noFill/>
                          <a:ln>
                            <a:noFill/>
                          </a:ln>
                        </pic:spPr>
                      </pic:pic>
                    </a:graphicData>
                  </a:graphic>
                </wp:inline>
              </w:drawing>
            </w:r>
          </w:p>
        </w:tc>
        <w:tc>
          <w:tcPr>
            <w:tcW w:w="5126" w:type="dxa"/>
          </w:tcPr>
          <w:p w14:paraId="3CF22FAA">
            <w:pPr>
              <w:pStyle w:val="73"/>
              <w:numPr>
                <w:ilvl w:val="2"/>
                <w:numId w:val="0"/>
              </w:numPr>
              <w:jc w:val="both"/>
            </w:pPr>
            <w:r>
              <w:rPr>
                <w:rFonts w:hint="eastAsia" w:cs="黑体"/>
              </w:rPr>
              <w:t>6.3 尺寸允许偏差</w:t>
            </w:r>
          </w:p>
          <w:p w14:paraId="321B65C6">
            <w:pPr>
              <w:pStyle w:val="72"/>
              <w:ind w:firstLine="420"/>
            </w:pPr>
            <w:r>
              <w:rPr>
                <w:rFonts w:hint="eastAsia"/>
              </w:rPr>
              <w:t>建筑隔震橡胶支座尺寸允许偏差应符合表</w:t>
            </w:r>
            <w:r>
              <w:rPr>
                <w:rFonts w:hint="eastAsia"/>
                <w:bdr w:val="single" w:color="auto" w:sz="4" w:space="0"/>
              </w:rPr>
              <w:t>4</w:t>
            </w:r>
            <w:r>
              <w:rPr>
                <w:rFonts w:hint="eastAsia"/>
                <w:u w:val="single"/>
              </w:rPr>
              <w:t>5</w:t>
            </w:r>
            <w:r>
              <w:rPr>
                <w:rFonts w:hint="eastAsia"/>
              </w:rPr>
              <w:t>的要求。</w:t>
            </w:r>
          </w:p>
          <w:p w14:paraId="601C2EAD">
            <w:pPr>
              <w:pStyle w:val="72"/>
              <w:ind w:firstLine="0" w:firstLineChars="0"/>
              <w:jc w:val="center"/>
              <w:rPr>
                <w:rFonts w:hint="eastAsia" w:ascii="黑体" w:hAnsi="黑体" w:eastAsia="黑体" w:cs="黑体"/>
              </w:rPr>
            </w:pPr>
            <w:r>
              <w:rPr>
                <w:rFonts w:hint="eastAsia" w:ascii="黑体" w:hAnsi="黑体" w:eastAsia="黑体" w:cs="黑体"/>
              </w:rPr>
              <w:t>表</w:t>
            </w:r>
            <w:r>
              <w:rPr>
                <w:rFonts w:hint="eastAsia" w:ascii="黑体" w:hAnsi="黑体" w:eastAsia="黑体" w:cs="黑体"/>
                <w:bdr w:val="single" w:color="auto" w:sz="4" w:space="0"/>
              </w:rPr>
              <w:t>4</w:t>
            </w:r>
            <w:r>
              <w:rPr>
                <w:rFonts w:hint="eastAsia" w:ascii="黑体" w:hAnsi="黑体" w:eastAsia="黑体" w:cs="黑体"/>
                <w:u w:val="single"/>
              </w:rPr>
              <w:t>5</w:t>
            </w:r>
            <w:r>
              <w:rPr>
                <w:rFonts w:ascii="黑体" w:hAnsi="黑体" w:eastAsia="黑体" w:cs="黑体"/>
              </w:rPr>
              <w:t xml:space="preserve"> </w:t>
            </w:r>
            <w:r>
              <w:rPr>
                <w:rFonts w:hint="eastAsia" w:ascii="黑体" w:hAnsi="黑体" w:eastAsia="黑体" w:cs="黑体"/>
              </w:rPr>
              <w:t>尺寸允许偏差</w:t>
            </w:r>
          </w:p>
          <w:p w14:paraId="34378335">
            <w:pPr>
              <w:pStyle w:val="72"/>
              <w:ind w:firstLine="0" w:firstLineChars="0"/>
              <w:rPr>
                <w:rFonts w:hint="eastAsia" w:ascii="黑体" w:hAnsi="黑体" w:eastAsia="黑体" w:cs="黑体"/>
              </w:rPr>
            </w:pPr>
            <w:r>
              <w:drawing>
                <wp:inline distT="0" distB="0" distL="114300" distR="114300">
                  <wp:extent cx="3114040" cy="2905125"/>
                  <wp:effectExtent l="0" t="0" r="10160" b="9525"/>
                  <wp:docPr id="4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0"/>
                          <pic:cNvPicPr>
                            <a:picLocks noChangeAspect="1"/>
                          </pic:cNvPicPr>
                        </pic:nvPicPr>
                        <pic:blipFill>
                          <a:blip r:embed="rId21"/>
                          <a:stretch>
                            <a:fillRect/>
                          </a:stretch>
                        </pic:blipFill>
                        <pic:spPr>
                          <a:xfrm>
                            <a:off x="0" y="0"/>
                            <a:ext cx="3114040" cy="2905125"/>
                          </a:xfrm>
                          <a:prstGeom prst="rect">
                            <a:avLst/>
                          </a:prstGeom>
                          <a:noFill/>
                          <a:ln>
                            <a:noFill/>
                          </a:ln>
                        </pic:spPr>
                      </pic:pic>
                    </a:graphicData>
                  </a:graphic>
                </wp:inline>
              </w:drawing>
            </w:r>
          </w:p>
        </w:tc>
      </w:tr>
      <w:tr w14:paraId="1DB3BE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3DB15F8D">
            <w:pPr>
              <w:pStyle w:val="73"/>
              <w:numPr>
                <w:ilvl w:val="2"/>
                <w:numId w:val="0"/>
              </w:numPr>
            </w:pPr>
            <w:r>
              <w:rPr>
                <w:rFonts w:hint="eastAsia" w:cs="黑体"/>
              </w:rPr>
              <w:t>6.4支座竖向和水平力学性能</w:t>
            </w:r>
          </w:p>
          <w:p w14:paraId="58AB6CAD">
            <w:pPr>
              <w:pStyle w:val="72"/>
              <w:ind w:firstLine="420"/>
              <w:rPr>
                <w:rFonts w:cs="Times New Roman"/>
              </w:rPr>
            </w:pPr>
            <w:r>
              <w:rPr>
                <w:rFonts w:hint="eastAsia"/>
              </w:rPr>
              <w:t>支座竖向和水平力学性能要求见表</w:t>
            </w:r>
            <w:r>
              <w:t>5</w:t>
            </w:r>
            <w:r>
              <w:rPr>
                <w:rFonts w:hint="eastAsia"/>
              </w:rPr>
              <w:t>。支座</w:t>
            </w:r>
            <w:r>
              <w:t>的计算模型参</w:t>
            </w:r>
            <w:r>
              <w:rPr>
                <w:rFonts w:hint="eastAsia"/>
              </w:rPr>
              <w:t>照</w:t>
            </w:r>
            <w:r>
              <w:t>附录B，</w:t>
            </w:r>
            <w:r>
              <w:rPr>
                <w:rFonts w:hint="eastAsia"/>
              </w:rPr>
              <w:t>建议</w:t>
            </w:r>
            <w:r>
              <w:t>的支座</w:t>
            </w:r>
            <w:r>
              <w:rPr>
                <w:rFonts w:hint="eastAsia"/>
              </w:rPr>
              <w:t>标准</w:t>
            </w:r>
            <w:r>
              <w:t>化产品规格和参数</w:t>
            </w:r>
            <w:r>
              <w:rPr>
                <w:rFonts w:hint="eastAsia"/>
              </w:rPr>
              <w:t>参照附录</w:t>
            </w:r>
            <w:r>
              <w:t>C。</w:t>
            </w:r>
          </w:p>
          <w:p w14:paraId="43751B7D">
            <w:pPr>
              <w:pStyle w:val="72"/>
              <w:ind w:firstLine="420"/>
              <w:jc w:val="center"/>
              <w:rPr>
                <w:rFonts w:hint="eastAsia" w:ascii="黑体" w:hAnsi="黑体" w:eastAsia="黑体" w:cs="Times New Roman"/>
              </w:rPr>
            </w:pPr>
            <w:r>
              <w:rPr>
                <w:rFonts w:hint="eastAsia" w:ascii="黑体" w:hAnsi="黑体" w:eastAsia="黑体" w:cs="黑体"/>
              </w:rPr>
              <w:t>表</w:t>
            </w:r>
            <w:r>
              <w:rPr>
                <w:rFonts w:ascii="黑体" w:hAnsi="黑体" w:eastAsia="黑体" w:cs="黑体"/>
              </w:rPr>
              <w:t xml:space="preserve">5 </w:t>
            </w:r>
            <w:r>
              <w:rPr>
                <w:rFonts w:hint="eastAsia" w:ascii="黑体" w:hAnsi="黑体" w:eastAsia="黑体" w:cs="黑体"/>
              </w:rPr>
              <w:t>支座竖向</w:t>
            </w:r>
            <w:r>
              <w:rPr>
                <w:rFonts w:ascii="黑体" w:hAnsi="黑体" w:eastAsia="黑体" w:cs="黑体"/>
              </w:rPr>
              <w:t>和水平</w:t>
            </w:r>
            <w:r>
              <w:rPr>
                <w:rFonts w:hint="eastAsia" w:ascii="黑体" w:hAnsi="黑体" w:eastAsia="黑体" w:cs="黑体"/>
              </w:rPr>
              <w:t>力学性能要求</w:t>
            </w:r>
          </w:p>
          <w:p w14:paraId="7EAC60CD">
            <w:pPr>
              <w:pStyle w:val="72"/>
              <w:ind w:firstLine="0" w:firstLineChars="0"/>
              <w:jc w:val="center"/>
              <w:rPr>
                <w:rFonts w:hint="eastAsia" w:ascii="黑体" w:hAnsi="黑体" w:eastAsia="黑体" w:cs="黑体"/>
              </w:rPr>
            </w:pPr>
            <w:r>
              <w:drawing>
                <wp:inline distT="0" distB="0" distL="114300" distR="114300">
                  <wp:extent cx="3103245" cy="3996690"/>
                  <wp:effectExtent l="0" t="0" r="1905" b="3810"/>
                  <wp:docPr id="4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1"/>
                          <pic:cNvPicPr>
                            <a:picLocks noChangeAspect="1"/>
                          </pic:cNvPicPr>
                        </pic:nvPicPr>
                        <pic:blipFill>
                          <a:blip r:embed="rId22"/>
                          <a:stretch>
                            <a:fillRect/>
                          </a:stretch>
                        </pic:blipFill>
                        <pic:spPr>
                          <a:xfrm>
                            <a:off x="0" y="0"/>
                            <a:ext cx="3103245" cy="3996690"/>
                          </a:xfrm>
                          <a:prstGeom prst="rect">
                            <a:avLst/>
                          </a:prstGeom>
                          <a:noFill/>
                          <a:ln>
                            <a:noFill/>
                          </a:ln>
                        </pic:spPr>
                      </pic:pic>
                    </a:graphicData>
                  </a:graphic>
                </wp:inline>
              </w:drawing>
            </w:r>
          </w:p>
        </w:tc>
        <w:tc>
          <w:tcPr>
            <w:tcW w:w="5126" w:type="dxa"/>
            <w:vAlign w:val="center"/>
          </w:tcPr>
          <w:p w14:paraId="360A82DF">
            <w:pPr>
              <w:pStyle w:val="73"/>
              <w:numPr>
                <w:ilvl w:val="2"/>
                <w:numId w:val="0"/>
              </w:numPr>
            </w:pPr>
            <w:r>
              <w:rPr>
                <w:rFonts w:hint="eastAsia" w:cs="黑体"/>
              </w:rPr>
              <w:t>6.4支座竖向和水平力学性能</w:t>
            </w:r>
          </w:p>
          <w:p w14:paraId="4C4B7C27">
            <w:pPr>
              <w:pStyle w:val="72"/>
              <w:ind w:firstLine="420"/>
              <w:rPr>
                <w:rFonts w:cs="Times New Roman"/>
              </w:rPr>
            </w:pPr>
            <w:r>
              <w:rPr>
                <w:rFonts w:hint="eastAsia"/>
              </w:rPr>
              <w:t>支座竖向和水平</w:t>
            </w:r>
            <w:r>
              <w:rPr>
                <w:rFonts w:hint="eastAsia"/>
                <w:u w:val="single"/>
              </w:rPr>
              <w:t>向</w:t>
            </w:r>
            <w:r>
              <w:rPr>
                <w:rFonts w:hint="eastAsia"/>
              </w:rPr>
              <w:t>力学性能要求见表</w:t>
            </w:r>
            <w:r>
              <w:rPr>
                <w:bdr w:val="single" w:color="auto" w:sz="2" w:space="0"/>
              </w:rPr>
              <w:t>5</w:t>
            </w:r>
            <w:r>
              <w:rPr>
                <w:rFonts w:hint="eastAsia"/>
                <w:u w:val="single"/>
              </w:rPr>
              <w:t>6</w:t>
            </w:r>
            <w:r>
              <w:rPr>
                <w:rFonts w:hint="eastAsia"/>
              </w:rPr>
              <w:t>。</w:t>
            </w:r>
            <w:r>
              <w:rPr>
                <w:rFonts w:hint="eastAsia"/>
                <w:bdr w:val="single" w:color="auto" w:sz="2" w:space="0"/>
              </w:rPr>
              <w:t>支座</w:t>
            </w:r>
            <w:r>
              <w:rPr>
                <w:bdr w:val="single" w:color="auto" w:sz="2" w:space="0"/>
              </w:rPr>
              <w:t>的计算模型参</w:t>
            </w:r>
            <w:r>
              <w:rPr>
                <w:rFonts w:hint="eastAsia"/>
                <w:bdr w:val="single" w:color="auto" w:sz="2" w:space="0"/>
              </w:rPr>
              <w:t>照</w:t>
            </w:r>
            <w:r>
              <w:rPr>
                <w:bdr w:val="single" w:color="auto" w:sz="2" w:space="0"/>
              </w:rPr>
              <w:t>附录B，</w:t>
            </w:r>
            <w:r>
              <w:rPr>
                <w:rFonts w:hint="eastAsia"/>
                <w:bdr w:val="single" w:color="auto" w:sz="2" w:space="0"/>
              </w:rPr>
              <w:t>建议</w:t>
            </w:r>
            <w:r>
              <w:rPr>
                <w:bdr w:val="single" w:color="auto" w:sz="2" w:space="0"/>
              </w:rPr>
              <w:t>的支座</w:t>
            </w:r>
            <w:r>
              <w:rPr>
                <w:rFonts w:hint="eastAsia"/>
                <w:bdr w:val="single" w:color="auto" w:sz="2" w:space="0"/>
              </w:rPr>
              <w:t>标准</w:t>
            </w:r>
            <w:r>
              <w:rPr>
                <w:bdr w:val="single" w:color="auto" w:sz="2" w:space="0"/>
              </w:rPr>
              <w:t>化产品规格和参数</w:t>
            </w:r>
            <w:r>
              <w:rPr>
                <w:rFonts w:hint="eastAsia"/>
                <w:bdr w:val="single" w:color="auto" w:sz="2" w:space="0"/>
              </w:rPr>
              <w:t>参照附录</w:t>
            </w:r>
            <w:r>
              <w:rPr>
                <w:bdr w:val="single" w:color="auto" w:sz="2" w:space="0"/>
              </w:rPr>
              <w:t>C。</w:t>
            </w:r>
          </w:p>
          <w:p w14:paraId="06E6C787">
            <w:pPr>
              <w:pStyle w:val="72"/>
              <w:ind w:firstLine="420"/>
              <w:jc w:val="center"/>
              <w:rPr>
                <w:rFonts w:hint="eastAsia" w:ascii="黑体" w:hAnsi="黑体" w:eastAsia="黑体" w:cs="Times New Roman"/>
              </w:rPr>
            </w:pPr>
            <w:r>
              <w:rPr>
                <w:rFonts w:hint="eastAsia" w:ascii="黑体" w:hAnsi="黑体" w:eastAsia="黑体" w:cs="黑体"/>
              </w:rPr>
              <w:t>表</w:t>
            </w:r>
            <w:r>
              <w:rPr>
                <w:rFonts w:hint="eastAsia" w:ascii="黑体" w:hAnsi="黑体" w:eastAsia="黑体" w:cs="黑体"/>
                <w:bdr w:val="single" w:color="auto" w:sz="2" w:space="0"/>
              </w:rPr>
              <w:t>5</w:t>
            </w:r>
            <w:r>
              <w:rPr>
                <w:rFonts w:hint="eastAsia" w:ascii="黑体" w:hAnsi="黑体" w:eastAsia="黑体" w:cs="黑体"/>
                <w:u w:val="single"/>
              </w:rPr>
              <w:t>6</w:t>
            </w:r>
            <w:r>
              <w:rPr>
                <w:rFonts w:ascii="黑体" w:hAnsi="黑体" w:eastAsia="黑体" w:cs="黑体"/>
              </w:rPr>
              <w:t xml:space="preserve"> </w:t>
            </w:r>
            <w:r>
              <w:rPr>
                <w:rFonts w:hint="eastAsia" w:ascii="黑体" w:hAnsi="黑体" w:eastAsia="黑体" w:cs="黑体"/>
              </w:rPr>
              <w:t>支座竖向</w:t>
            </w:r>
            <w:r>
              <w:rPr>
                <w:rFonts w:ascii="黑体" w:hAnsi="黑体" w:eastAsia="黑体" w:cs="黑体"/>
              </w:rPr>
              <w:t>和水平</w:t>
            </w:r>
            <w:r>
              <w:rPr>
                <w:rFonts w:hint="eastAsia" w:ascii="黑体" w:hAnsi="黑体" w:eastAsia="黑体" w:cs="黑体"/>
              </w:rPr>
              <w:t>力学性能要求</w:t>
            </w:r>
          </w:p>
          <w:p w14:paraId="5E8133F9">
            <w:pPr>
              <w:pStyle w:val="72"/>
              <w:ind w:firstLine="0" w:firstLineChars="0"/>
              <w:jc w:val="center"/>
              <w:rPr>
                <w:rFonts w:hint="eastAsia" w:ascii="黑体" w:hAnsi="黑体" w:eastAsia="黑体" w:cs="黑体"/>
              </w:rPr>
            </w:pPr>
            <w:r>
              <w:drawing>
                <wp:inline distT="0" distB="0" distL="114300" distR="114300">
                  <wp:extent cx="3113405" cy="4020820"/>
                  <wp:effectExtent l="0" t="0" r="10795" b="17780"/>
                  <wp:docPr id="4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2"/>
                          <pic:cNvPicPr>
                            <a:picLocks noChangeAspect="1"/>
                          </pic:cNvPicPr>
                        </pic:nvPicPr>
                        <pic:blipFill>
                          <a:blip r:embed="rId23"/>
                          <a:stretch>
                            <a:fillRect/>
                          </a:stretch>
                        </pic:blipFill>
                        <pic:spPr>
                          <a:xfrm>
                            <a:off x="0" y="0"/>
                            <a:ext cx="3113405" cy="4020820"/>
                          </a:xfrm>
                          <a:prstGeom prst="rect">
                            <a:avLst/>
                          </a:prstGeom>
                          <a:noFill/>
                          <a:ln>
                            <a:noFill/>
                          </a:ln>
                        </pic:spPr>
                      </pic:pic>
                    </a:graphicData>
                  </a:graphic>
                </wp:inline>
              </w:drawing>
            </w:r>
          </w:p>
        </w:tc>
      </w:tr>
      <w:tr w14:paraId="7E4719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13A24B65">
            <w:pPr>
              <w:pStyle w:val="73"/>
              <w:numPr>
                <w:ilvl w:val="2"/>
                <w:numId w:val="0"/>
              </w:numPr>
              <w:rPr>
                <w:rFonts w:cs="黑体"/>
              </w:rPr>
            </w:pPr>
            <w:r>
              <w:rPr>
                <w:rFonts w:hint="eastAsia" w:cs="黑体"/>
              </w:rPr>
              <w:t>6.5 耐久性</w:t>
            </w:r>
          </w:p>
          <w:p w14:paraId="54331431">
            <w:pPr>
              <w:pStyle w:val="72"/>
              <w:ind w:firstLine="420"/>
              <w:rPr>
                <w:rFonts w:cs="Times New Roman"/>
              </w:rPr>
            </w:pPr>
            <w:r>
              <w:rPr>
                <w:rFonts w:hint="eastAsia"/>
              </w:rPr>
              <w:t>耐久性包括老化性能、徐变性能、疲劳性能，应符合表</w:t>
            </w:r>
            <w:r>
              <w:t>6</w:t>
            </w:r>
            <w:r>
              <w:rPr>
                <w:rFonts w:hint="eastAsia"/>
              </w:rPr>
              <w:t>的规定。</w:t>
            </w:r>
          </w:p>
          <w:p w14:paraId="469A85F9">
            <w:pPr>
              <w:pStyle w:val="72"/>
              <w:ind w:firstLine="0" w:firstLineChars="0"/>
              <w:jc w:val="center"/>
              <w:rPr>
                <w:rFonts w:hint="eastAsia" w:ascii="黑体" w:hAnsi="黑体" w:eastAsia="黑体"/>
              </w:rPr>
            </w:pPr>
            <w:r>
              <w:rPr>
                <w:rFonts w:hint="eastAsia" w:ascii="黑体" w:hAnsi="黑体" w:eastAsia="黑体"/>
              </w:rPr>
              <w:t>表</w:t>
            </w:r>
            <w:r>
              <w:rPr>
                <w:rFonts w:ascii="黑体" w:hAnsi="黑体" w:eastAsia="黑体"/>
              </w:rPr>
              <w:t xml:space="preserve">6 </w:t>
            </w:r>
            <w:r>
              <w:rPr>
                <w:rFonts w:hint="eastAsia" w:ascii="黑体" w:hAnsi="黑体" w:eastAsia="黑体"/>
              </w:rPr>
              <w:t>耐久性性能要求</w:t>
            </w:r>
          </w:p>
          <w:tbl>
            <w:tblPr>
              <w:tblStyle w:val="32"/>
              <w:tblW w:w="4617" w:type="dxa"/>
              <w:jc w:val="center"/>
              <w:tblLayout w:type="fixed"/>
              <w:tblCellMar>
                <w:top w:w="0" w:type="dxa"/>
                <w:left w:w="0" w:type="dxa"/>
                <w:bottom w:w="0" w:type="dxa"/>
                <w:right w:w="0" w:type="dxa"/>
              </w:tblCellMar>
            </w:tblPr>
            <w:tblGrid>
              <w:gridCol w:w="768"/>
              <w:gridCol w:w="1885"/>
              <w:gridCol w:w="1964"/>
            </w:tblGrid>
            <w:tr w14:paraId="5841F401">
              <w:tblPrEx>
                <w:tblCellMar>
                  <w:top w:w="0" w:type="dxa"/>
                  <w:left w:w="0" w:type="dxa"/>
                  <w:bottom w:w="0" w:type="dxa"/>
                  <w:right w:w="0" w:type="dxa"/>
                </w:tblCellMar>
              </w:tblPrEx>
              <w:trPr>
                <w:trHeight w:val="300" w:hRule="atLeast"/>
                <w:jc w:val="center"/>
              </w:trPr>
              <w:tc>
                <w:tcPr>
                  <w:tcW w:w="2653" w:type="dxa"/>
                  <w:gridSpan w:val="2"/>
                  <w:tcBorders>
                    <w:top w:val="single" w:color="auto" w:sz="4" w:space="0"/>
                    <w:left w:val="single" w:color="auto" w:sz="4" w:space="0"/>
                    <w:bottom w:val="single" w:color="auto" w:sz="4" w:space="0"/>
                    <w:right w:val="single" w:color="auto" w:sz="4" w:space="0"/>
                  </w:tcBorders>
                  <w:vAlign w:val="center"/>
                </w:tcPr>
                <w:p w14:paraId="31128A0F">
                  <w:pPr>
                    <w:jc w:val="center"/>
                    <w:rPr>
                      <w:rFonts w:ascii="宋体"/>
                      <w:sz w:val="13"/>
                      <w:szCs w:val="13"/>
                    </w:rPr>
                  </w:pPr>
                  <w:r>
                    <w:rPr>
                      <w:rFonts w:hint="eastAsia" w:cs="宋体"/>
                      <w:sz w:val="13"/>
                      <w:szCs w:val="13"/>
                    </w:rPr>
                    <w:t>项目</w:t>
                  </w:r>
                </w:p>
              </w:tc>
              <w:tc>
                <w:tcPr>
                  <w:tcW w:w="1964" w:type="dxa"/>
                  <w:tcBorders>
                    <w:top w:val="single" w:color="auto" w:sz="4" w:space="0"/>
                    <w:left w:val="single" w:color="auto" w:sz="4" w:space="0"/>
                    <w:bottom w:val="single" w:color="auto" w:sz="4" w:space="0"/>
                    <w:right w:val="single" w:color="auto" w:sz="4" w:space="0"/>
                  </w:tcBorders>
                  <w:vAlign w:val="center"/>
                </w:tcPr>
                <w:p w14:paraId="2F472ACE">
                  <w:pPr>
                    <w:jc w:val="center"/>
                    <w:rPr>
                      <w:rFonts w:ascii="宋体"/>
                      <w:sz w:val="13"/>
                      <w:szCs w:val="13"/>
                    </w:rPr>
                  </w:pPr>
                  <w:r>
                    <w:rPr>
                      <w:rFonts w:hint="eastAsia" w:cs="宋体"/>
                      <w:sz w:val="13"/>
                      <w:szCs w:val="13"/>
                    </w:rPr>
                    <w:t>性能要求</w:t>
                  </w:r>
                </w:p>
              </w:tc>
            </w:tr>
            <w:tr w14:paraId="5042B118">
              <w:tblPrEx>
                <w:tblCellMar>
                  <w:top w:w="0" w:type="dxa"/>
                  <w:left w:w="0" w:type="dxa"/>
                  <w:bottom w:w="0" w:type="dxa"/>
                  <w:right w:w="0" w:type="dxa"/>
                </w:tblCellMar>
              </w:tblPrEx>
              <w:trPr>
                <w:trHeight w:val="300" w:hRule="atLeast"/>
                <w:jc w:val="center"/>
              </w:trPr>
              <w:tc>
                <w:tcPr>
                  <w:tcW w:w="768" w:type="dxa"/>
                  <w:vMerge w:val="restart"/>
                  <w:tcBorders>
                    <w:top w:val="single" w:color="auto" w:sz="4" w:space="0"/>
                    <w:left w:val="single" w:color="auto" w:sz="4" w:space="0"/>
                    <w:bottom w:val="single" w:color="auto" w:sz="4" w:space="0"/>
                    <w:right w:val="single" w:color="auto" w:sz="4" w:space="0"/>
                  </w:tcBorders>
                  <w:vAlign w:val="center"/>
                </w:tcPr>
                <w:p w14:paraId="753ABC07">
                  <w:pPr>
                    <w:jc w:val="center"/>
                    <w:rPr>
                      <w:rFonts w:ascii="宋体"/>
                      <w:sz w:val="13"/>
                      <w:szCs w:val="13"/>
                    </w:rPr>
                  </w:pPr>
                  <w:r>
                    <w:rPr>
                      <w:rFonts w:hint="eastAsia" w:cs="宋体"/>
                      <w:sz w:val="13"/>
                      <w:szCs w:val="13"/>
                    </w:rPr>
                    <w:t>老化性能</w:t>
                  </w:r>
                </w:p>
              </w:tc>
              <w:tc>
                <w:tcPr>
                  <w:tcW w:w="1885" w:type="dxa"/>
                  <w:tcBorders>
                    <w:top w:val="single" w:color="auto" w:sz="4" w:space="0"/>
                    <w:left w:val="nil"/>
                    <w:bottom w:val="single" w:color="auto" w:sz="4" w:space="0"/>
                    <w:right w:val="single" w:color="auto" w:sz="4" w:space="0"/>
                  </w:tcBorders>
                  <w:vAlign w:val="center"/>
                </w:tcPr>
                <w:p w14:paraId="694C476F">
                  <w:pPr>
                    <w:jc w:val="center"/>
                    <w:rPr>
                      <w:rFonts w:ascii="宋体"/>
                      <w:sz w:val="13"/>
                      <w:szCs w:val="13"/>
                    </w:rPr>
                  </w:pPr>
                  <w:r>
                    <w:rPr>
                      <w:rFonts w:hint="eastAsia" w:cs="宋体"/>
                      <w:sz w:val="13"/>
                      <w:szCs w:val="13"/>
                    </w:rPr>
                    <w:t>竖向刚度变化率</w:t>
                  </w:r>
                </w:p>
              </w:tc>
              <w:tc>
                <w:tcPr>
                  <w:tcW w:w="1964" w:type="dxa"/>
                  <w:vMerge w:val="restart"/>
                  <w:tcBorders>
                    <w:top w:val="single" w:color="auto" w:sz="4" w:space="0"/>
                    <w:left w:val="single" w:color="auto" w:sz="4" w:space="0"/>
                    <w:right w:val="single" w:color="auto" w:sz="4" w:space="0"/>
                  </w:tcBorders>
                  <w:vAlign w:val="center"/>
                </w:tcPr>
                <w:p w14:paraId="2E5D66EF">
                  <w:pPr>
                    <w:jc w:val="center"/>
                    <w:rPr>
                      <w:rFonts w:ascii="宋体"/>
                      <w:sz w:val="13"/>
                      <w:szCs w:val="13"/>
                    </w:rPr>
                  </w:pPr>
                  <w:r>
                    <w:rPr>
                      <w:rFonts w:hint="eastAsia" w:ascii="宋体" w:hAnsi="宋体" w:cs="宋体"/>
                      <w:sz w:val="13"/>
                      <w:szCs w:val="13"/>
                    </w:rPr>
                    <w:t>±</w:t>
                  </w:r>
                  <w:r>
                    <w:rPr>
                      <w:sz w:val="13"/>
                      <w:szCs w:val="13"/>
                    </w:rPr>
                    <w:t>20%</w:t>
                  </w:r>
                </w:p>
              </w:tc>
            </w:tr>
            <w:tr w14:paraId="3BE47F38">
              <w:tblPrEx>
                <w:tblCellMar>
                  <w:top w:w="0" w:type="dxa"/>
                  <w:left w:w="0" w:type="dxa"/>
                  <w:bottom w:w="0" w:type="dxa"/>
                  <w:right w:w="0" w:type="dxa"/>
                </w:tblCellMar>
              </w:tblPrEx>
              <w:trPr>
                <w:trHeight w:val="285" w:hRule="atLeast"/>
                <w:jc w:val="center"/>
              </w:trPr>
              <w:tc>
                <w:tcPr>
                  <w:tcW w:w="768" w:type="dxa"/>
                  <w:vMerge w:val="continue"/>
                  <w:tcBorders>
                    <w:top w:val="nil"/>
                    <w:left w:val="single" w:color="auto" w:sz="4" w:space="0"/>
                    <w:bottom w:val="single" w:color="auto" w:sz="4" w:space="0"/>
                    <w:right w:val="single" w:color="auto" w:sz="4" w:space="0"/>
                  </w:tcBorders>
                  <w:vAlign w:val="center"/>
                </w:tcPr>
                <w:p w14:paraId="2990D07E">
                  <w:pPr>
                    <w:rPr>
                      <w:rFonts w:ascii="宋体"/>
                      <w:sz w:val="13"/>
                      <w:szCs w:val="13"/>
                    </w:rPr>
                  </w:pPr>
                </w:p>
              </w:tc>
              <w:tc>
                <w:tcPr>
                  <w:tcW w:w="1885" w:type="dxa"/>
                  <w:tcBorders>
                    <w:top w:val="nil"/>
                    <w:left w:val="nil"/>
                    <w:bottom w:val="single" w:color="auto" w:sz="4" w:space="0"/>
                    <w:right w:val="single" w:color="auto" w:sz="4" w:space="0"/>
                  </w:tcBorders>
                  <w:vAlign w:val="center"/>
                </w:tcPr>
                <w:p w14:paraId="339B4565">
                  <w:pPr>
                    <w:jc w:val="center"/>
                    <w:rPr>
                      <w:rFonts w:ascii="宋体"/>
                      <w:sz w:val="13"/>
                      <w:szCs w:val="13"/>
                    </w:rPr>
                  </w:pPr>
                  <w:r>
                    <w:rPr>
                      <w:rFonts w:hint="eastAsia" w:cs="宋体"/>
                      <w:sz w:val="13"/>
                      <w:szCs w:val="13"/>
                    </w:rPr>
                    <w:t>水平等效刚度变化率</w:t>
                  </w:r>
                </w:p>
              </w:tc>
              <w:tc>
                <w:tcPr>
                  <w:tcW w:w="1964" w:type="dxa"/>
                  <w:vMerge w:val="continue"/>
                  <w:tcBorders>
                    <w:left w:val="single" w:color="auto" w:sz="4" w:space="0"/>
                    <w:right w:val="single" w:color="auto" w:sz="4" w:space="0"/>
                  </w:tcBorders>
                  <w:vAlign w:val="center"/>
                </w:tcPr>
                <w:p w14:paraId="66C20270">
                  <w:pPr>
                    <w:rPr>
                      <w:rFonts w:ascii="宋体"/>
                      <w:sz w:val="13"/>
                      <w:szCs w:val="13"/>
                    </w:rPr>
                  </w:pPr>
                </w:p>
              </w:tc>
            </w:tr>
            <w:tr w14:paraId="1F6DC3D2">
              <w:tblPrEx>
                <w:tblCellMar>
                  <w:top w:w="0" w:type="dxa"/>
                  <w:left w:w="0" w:type="dxa"/>
                  <w:bottom w:w="0" w:type="dxa"/>
                  <w:right w:w="0" w:type="dxa"/>
                </w:tblCellMar>
              </w:tblPrEx>
              <w:trPr>
                <w:trHeight w:val="285" w:hRule="atLeast"/>
                <w:jc w:val="center"/>
              </w:trPr>
              <w:tc>
                <w:tcPr>
                  <w:tcW w:w="768" w:type="dxa"/>
                  <w:vMerge w:val="continue"/>
                  <w:tcBorders>
                    <w:top w:val="nil"/>
                    <w:left w:val="single" w:color="auto" w:sz="4" w:space="0"/>
                    <w:bottom w:val="single" w:color="auto" w:sz="4" w:space="0"/>
                    <w:right w:val="single" w:color="auto" w:sz="4" w:space="0"/>
                  </w:tcBorders>
                  <w:vAlign w:val="center"/>
                </w:tcPr>
                <w:p w14:paraId="47F15CD6">
                  <w:pPr>
                    <w:rPr>
                      <w:rFonts w:ascii="宋体"/>
                      <w:sz w:val="13"/>
                      <w:szCs w:val="13"/>
                    </w:rPr>
                  </w:pPr>
                </w:p>
              </w:tc>
              <w:tc>
                <w:tcPr>
                  <w:tcW w:w="1885" w:type="dxa"/>
                  <w:tcBorders>
                    <w:top w:val="nil"/>
                    <w:left w:val="nil"/>
                    <w:bottom w:val="single" w:color="auto" w:sz="4" w:space="0"/>
                    <w:right w:val="single" w:color="auto" w:sz="4" w:space="0"/>
                  </w:tcBorders>
                  <w:vAlign w:val="center"/>
                </w:tcPr>
                <w:p w14:paraId="11836140">
                  <w:pPr>
                    <w:jc w:val="center"/>
                    <w:rPr>
                      <w:rFonts w:cs="宋体"/>
                      <w:sz w:val="13"/>
                      <w:szCs w:val="13"/>
                    </w:rPr>
                  </w:pPr>
                  <w:r>
                    <w:rPr>
                      <w:rFonts w:hint="eastAsia" w:cs="宋体"/>
                      <w:sz w:val="13"/>
                      <w:szCs w:val="13"/>
                    </w:rPr>
                    <w:t>等效阻尼比变化率</w:t>
                  </w:r>
                </w:p>
                <w:p w14:paraId="7836901D">
                  <w:pPr>
                    <w:jc w:val="center"/>
                    <w:rPr>
                      <w:rFonts w:ascii="宋体"/>
                      <w:sz w:val="13"/>
                      <w:szCs w:val="13"/>
                    </w:rPr>
                  </w:pPr>
                  <w:r>
                    <w:rPr>
                      <w:rFonts w:hint="eastAsia" w:cs="宋体"/>
                      <w:sz w:val="13"/>
                      <w:szCs w:val="13"/>
                    </w:rPr>
                    <w:t>（LRB</w:t>
                  </w:r>
                  <w:r>
                    <w:rPr>
                      <w:rFonts w:cs="宋体"/>
                      <w:sz w:val="13"/>
                      <w:szCs w:val="13"/>
                    </w:rPr>
                    <w:t>、HDR</w:t>
                  </w:r>
                  <w:r>
                    <w:rPr>
                      <w:rFonts w:hint="eastAsia" w:cs="宋体"/>
                      <w:sz w:val="13"/>
                      <w:szCs w:val="13"/>
                    </w:rPr>
                    <w:t>）</w:t>
                  </w:r>
                </w:p>
              </w:tc>
              <w:tc>
                <w:tcPr>
                  <w:tcW w:w="1964" w:type="dxa"/>
                  <w:vMerge w:val="continue"/>
                  <w:tcBorders>
                    <w:left w:val="single" w:color="auto" w:sz="4" w:space="0"/>
                    <w:bottom w:val="single" w:color="auto" w:sz="4" w:space="0"/>
                    <w:right w:val="single" w:color="auto" w:sz="4" w:space="0"/>
                  </w:tcBorders>
                  <w:vAlign w:val="center"/>
                </w:tcPr>
                <w:p w14:paraId="6043ADC2">
                  <w:pPr>
                    <w:rPr>
                      <w:rFonts w:ascii="宋体"/>
                      <w:sz w:val="13"/>
                      <w:szCs w:val="13"/>
                    </w:rPr>
                  </w:pPr>
                </w:p>
              </w:tc>
            </w:tr>
            <w:tr w14:paraId="59652972">
              <w:tblPrEx>
                <w:tblCellMar>
                  <w:top w:w="0" w:type="dxa"/>
                  <w:left w:w="0" w:type="dxa"/>
                  <w:bottom w:w="0" w:type="dxa"/>
                  <w:right w:w="0" w:type="dxa"/>
                </w:tblCellMar>
              </w:tblPrEx>
              <w:trPr>
                <w:trHeight w:val="390" w:hRule="atLeast"/>
                <w:jc w:val="center"/>
              </w:trPr>
              <w:tc>
                <w:tcPr>
                  <w:tcW w:w="768" w:type="dxa"/>
                  <w:vMerge w:val="continue"/>
                  <w:tcBorders>
                    <w:top w:val="nil"/>
                    <w:left w:val="single" w:color="auto" w:sz="4" w:space="0"/>
                    <w:bottom w:val="single" w:color="auto" w:sz="4" w:space="0"/>
                    <w:right w:val="single" w:color="auto" w:sz="4" w:space="0"/>
                  </w:tcBorders>
                  <w:vAlign w:val="center"/>
                </w:tcPr>
                <w:p w14:paraId="50FE08AF">
                  <w:pPr>
                    <w:rPr>
                      <w:rFonts w:ascii="宋体"/>
                      <w:sz w:val="13"/>
                      <w:szCs w:val="13"/>
                    </w:rPr>
                  </w:pPr>
                </w:p>
              </w:tc>
              <w:tc>
                <w:tcPr>
                  <w:tcW w:w="1885" w:type="dxa"/>
                  <w:tcBorders>
                    <w:top w:val="nil"/>
                    <w:left w:val="nil"/>
                    <w:bottom w:val="single" w:color="auto" w:sz="4" w:space="0"/>
                    <w:right w:val="single" w:color="auto" w:sz="4" w:space="0"/>
                  </w:tcBorders>
                  <w:vAlign w:val="center"/>
                </w:tcPr>
                <w:p w14:paraId="3CA000A9">
                  <w:pPr>
                    <w:jc w:val="center"/>
                    <w:rPr>
                      <w:rFonts w:ascii="宋体"/>
                      <w:sz w:val="13"/>
                      <w:szCs w:val="13"/>
                    </w:rPr>
                  </w:pPr>
                  <w:r>
                    <w:rPr>
                      <w:rFonts w:hint="eastAsia" w:cs="宋体"/>
                      <w:sz w:val="13"/>
                      <w:szCs w:val="13"/>
                    </w:rPr>
                    <w:t>水平极限变形能力</w:t>
                  </w:r>
                </w:p>
              </w:tc>
              <w:tc>
                <w:tcPr>
                  <w:tcW w:w="1964" w:type="dxa"/>
                  <w:tcBorders>
                    <w:top w:val="single" w:color="auto" w:sz="4" w:space="0"/>
                    <w:left w:val="single" w:color="auto" w:sz="4" w:space="0"/>
                    <w:bottom w:val="single" w:color="auto" w:sz="4" w:space="0"/>
                    <w:right w:val="single" w:color="auto" w:sz="4" w:space="0"/>
                  </w:tcBorders>
                  <w:vAlign w:val="center"/>
                </w:tcPr>
                <w:p w14:paraId="61461A20">
                  <w:pPr>
                    <w:jc w:val="center"/>
                    <w:rPr>
                      <w:rFonts w:ascii="宋体"/>
                      <w:sz w:val="13"/>
                      <w:szCs w:val="13"/>
                    </w:rPr>
                  </w:pPr>
                  <w:r>
                    <w:rPr>
                      <w:rFonts w:hint="eastAsia" w:cs="宋体"/>
                      <w:sz w:val="13"/>
                      <w:szCs w:val="13"/>
                    </w:rPr>
                    <w:t>≥</w:t>
                  </w:r>
                  <w:r>
                    <w:rPr>
                      <w:sz w:val="13"/>
                      <w:szCs w:val="13"/>
                    </w:rPr>
                    <w:t>320%</w:t>
                  </w:r>
                  <w:r>
                    <w:rPr>
                      <w:rFonts w:hint="eastAsia"/>
                      <w:sz w:val="13"/>
                      <w:szCs w:val="13"/>
                    </w:rPr>
                    <w:t>剪应变</w:t>
                  </w:r>
                </w:p>
              </w:tc>
            </w:tr>
            <w:tr w14:paraId="51774069">
              <w:tblPrEx>
                <w:tblCellMar>
                  <w:top w:w="0" w:type="dxa"/>
                  <w:left w:w="0" w:type="dxa"/>
                  <w:bottom w:w="0" w:type="dxa"/>
                  <w:right w:w="0" w:type="dxa"/>
                </w:tblCellMar>
              </w:tblPrEx>
              <w:trPr>
                <w:trHeight w:val="285" w:hRule="atLeast"/>
                <w:jc w:val="center"/>
              </w:trPr>
              <w:tc>
                <w:tcPr>
                  <w:tcW w:w="768" w:type="dxa"/>
                  <w:vMerge w:val="continue"/>
                  <w:tcBorders>
                    <w:top w:val="nil"/>
                    <w:left w:val="single" w:color="auto" w:sz="4" w:space="0"/>
                    <w:bottom w:val="single" w:color="auto" w:sz="4" w:space="0"/>
                    <w:right w:val="single" w:color="auto" w:sz="4" w:space="0"/>
                  </w:tcBorders>
                  <w:vAlign w:val="center"/>
                </w:tcPr>
                <w:p w14:paraId="18F3E2DE">
                  <w:pPr>
                    <w:rPr>
                      <w:rFonts w:ascii="宋体"/>
                      <w:sz w:val="13"/>
                      <w:szCs w:val="13"/>
                    </w:rPr>
                  </w:pPr>
                </w:p>
              </w:tc>
              <w:tc>
                <w:tcPr>
                  <w:tcW w:w="1885" w:type="dxa"/>
                  <w:tcBorders>
                    <w:top w:val="nil"/>
                    <w:left w:val="nil"/>
                    <w:bottom w:val="single" w:color="auto" w:sz="4" w:space="0"/>
                    <w:right w:val="single" w:color="auto" w:sz="4" w:space="0"/>
                  </w:tcBorders>
                  <w:vAlign w:val="center"/>
                </w:tcPr>
                <w:p w14:paraId="5F531A11">
                  <w:pPr>
                    <w:jc w:val="center"/>
                    <w:rPr>
                      <w:rFonts w:ascii="宋体"/>
                      <w:sz w:val="13"/>
                      <w:szCs w:val="13"/>
                    </w:rPr>
                  </w:pPr>
                  <w:r>
                    <w:rPr>
                      <w:rFonts w:hint="eastAsia" w:cs="宋体"/>
                      <w:sz w:val="13"/>
                      <w:szCs w:val="13"/>
                    </w:rPr>
                    <w:t>支座外观</w:t>
                  </w:r>
                </w:p>
              </w:tc>
              <w:tc>
                <w:tcPr>
                  <w:tcW w:w="1964" w:type="dxa"/>
                  <w:tcBorders>
                    <w:top w:val="nil"/>
                    <w:left w:val="nil"/>
                    <w:bottom w:val="single" w:color="auto" w:sz="4" w:space="0"/>
                    <w:right w:val="single" w:color="auto" w:sz="4" w:space="0"/>
                  </w:tcBorders>
                  <w:vAlign w:val="center"/>
                </w:tcPr>
                <w:p w14:paraId="121BD997">
                  <w:pPr>
                    <w:jc w:val="center"/>
                    <w:rPr>
                      <w:rFonts w:ascii="宋体"/>
                      <w:sz w:val="13"/>
                      <w:szCs w:val="13"/>
                    </w:rPr>
                  </w:pPr>
                  <w:r>
                    <w:rPr>
                      <w:rFonts w:hint="eastAsia" w:cs="宋体"/>
                      <w:sz w:val="13"/>
                      <w:szCs w:val="13"/>
                    </w:rPr>
                    <w:t>目视无龟裂</w:t>
                  </w:r>
                </w:p>
              </w:tc>
            </w:tr>
            <w:tr w14:paraId="12D623E2">
              <w:tblPrEx>
                <w:tblCellMar>
                  <w:top w:w="0" w:type="dxa"/>
                  <w:left w:w="0" w:type="dxa"/>
                  <w:bottom w:w="0" w:type="dxa"/>
                  <w:right w:w="0" w:type="dxa"/>
                </w:tblCellMar>
              </w:tblPrEx>
              <w:trPr>
                <w:trHeight w:val="285" w:hRule="atLeast"/>
                <w:jc w:val="center"/>
              </w:trPr>
              <w:tc>
                <w:tcPr>
                  <w:tcW w:w="768" w:type="dxa"/>
                  <w:tcBorders>
                    <w:top w:val="single" w:color="auto" w:sz="4" w:space="0"/>
                    <w:left w:val="single" w:color="auto" w:sz="4" w:space="0"/>
                    <w:bottom w:val="single" w:color="auto" w:sz="4" w:space="0"/>
                    <w:right w:val="single" w:color="auto" w:sz="4" w:space="0"/>
                  </w:tcBorders>
                  <w:vAlign w:val="center"/>
                </w:tcPr>
                <w:p w14:paraId="66EECBB7">
                  <w:pPr>
                    <w:jc w:val="center"/>
                    <w:rPr>
                      <w:rFonts w:ascii="宋体"/>
                      <w:sz w:val="13"/>
                      <w:szCs w:val="13"/>
                    </w:rPr>
                  </w:pPr>
                  <w:r>
                    <w:rPr>
                      <w:rFonts w:hint="eastAsia" w:cs="宋体"/>
                      <w:sz w:val="13"/>
                      <w:szCs w:val="13"/>
                    </w:rPr>
                    <w:t>徐变性能</w:t>
                  </w:r>
                </w:p>
              </w:tc>
              <w:tc>
                <w:tcPr>
                  <w:tcW w:w="1885" w:type="dxa"/>
                  <w:tcBorders>
                    <w:top w:val="single" w:color="auto" w:sz="4" w:space="0"/>
                    <w:left w:val="single" w:color="auto" w:sz="4" w:space="0"/>
                    <w:bottom w:val="single" w:color="auto" w:sz="4" w:space="0"/>
                    <w:right w:val="single" w:color="auto" w:sz="4" w:space="0"/>
                  </w:tcBorders>
                  <w:vAlign w:val="center"/>
                </w:tcPr>
                <w:p w14:paraId="720A27EF">
                  <w:pPr>
                    <w:jc w:val="center"/>
                    <w:rPr>
                      <w:rFonts w:ascii="宋体"/>
                      <w:sz w:val="13"/>
                      <w:szCs w:val="13"/>
                    </w:rPr>
                  </w:pPr>
                  <w:r>
                    <w:rPr>
                      <w:rFonts w:hint="eastAsia" w:cs="宋体"/>
                      <w:sz w:val="13"/>
                      <w:szCs w:val="13"/>
                    </w:rPr>
                    <w:t>徐变量</w:t>
                  </w:r>
                </w:p>
              </w:tc>
              <w:tc>
                <w:tcPr>
                  <w:tcW w:w="1964" w:type="dxa"/>
                  <w:tcBorders>
                    <w:top w:val="nil"/>
                    <w:left w:val="nil"/>
                    <w:bottom w:val="single" w:color="auto" w:sz="4" w:space="0"/>
                    <w:right w:val="single" w:color="auto" w:sz="4" w:space="0"/>
                  </w:tcBorders>
                  <w:vAlign w:val="center"/>
                </w:tcPr>
                <w:p w14:paraId="0AAAF0B7">
                  <w:pPr>
                    <w:jc w:val="left"/>
                    <w:rPr>
                      <w:sz w:val="13"/>
                      <w:szCs w:val="13"/>
                    </w:rPr>
                  </w:pPr>
                  <w:r>
                    <w:rPr>
                      <w:rFonts w:hint="eastAsia" w:cs="宋体"/>
                      <w:sz w:val="13"/>
                      <w:szCs w:val="13"/>
                    </w:rPr>
                    <w:t>天然</w:t>
                  </w:r>
                  <w:r>
                    <w:rPr>
                      <w:rFonts w:cs="宋体"/>
                      <w:sz w:val="13"/>
                      <w:szCs w:val="13"/>
                    </w:rPr>
                    <w:t>橡胶支座和铅芯橡胶支座</w:t>
                  </w:r>
                  <w:r>
                    <w:rPr>
                      <w:rFonts w:hint="eastAsia" w:cs="宋体"/>
                      <w:sz w:val="13"/>
                      <w:szCs w:val="13"/>
                    </w:rPr>
                    <w:t>不应大于橡胶层总厚度的</w:t>
                  </w:r>
                  <w:r>
                    <w:rPr>
                      <w:sz w:val="13"/>
                      <w:szCs w:val="13"/>
                    </w:rPr>
                    <w:t>5%</w:t>
                  </w:r>
                  <w:r>
                    <w:rPr>
                      <w:rFonts w:hint="eastAsia"/>
                      <w:sz w:val="13"/>
                      <w:szCs w:val="13"/>
                    </w:rPr>
                    <w:t>；</w:t>
                  </w:r>
                </w:p>
                <w:p w14:paraId="5AE15DBE">
                  <w:pPr>
                    <w:jc w:val="left"/>
                    <w:rPr>
                      <w:rFonts w:ascii="宋体"/>
                      <w:sz w:val="13"/>
                      <w:szCs w:val="13"/>
                    </w:rPr>
                  </w:pPr>
                  <w:r>
                    <w:rPr>
                      <w:rFonts w:hint="eastAsia" w:cs="宋体"/>
                      <w:sz w:val="13"/>
                      <w:szCs w:val="13"/>
                    </w:rPr>
                    <w:t>高阻尼</w:t>
                  </w:r>
                  <w:r>
                    <w:rPr>
                      <w:rFonts w:cs="宋体"/>
                      <w:sz w:val="13"/>
                      <w:szCs w:val="13"/>
                    </w:rPr>
                    <w:t>橡胶支座</w:t>
                  </w:r>
                  <w:r>
                    <w:rPr>
                      <w:rFonts w:hint="eastAsia" w:cs="宋体"/>
                      <w:sz w:val="13"/>
                      <w:szCs w:val="13"/>
                    </w:rPr>
                    <w:t>不应大于橡胶层总厚度的</w:t>
                  </w:r>
                  <w:r>
                    <w:rPr>
                      <w:sz w:val="13"/>
                      <w:szCs w:val="13"/>
                    </w:rPr>
                    <w:t>10%</w:t>
                  </w:r>
                </w:p>
              </w:tc>
            </w:tr>
            <w:tr w14:paraId="0DB0FD9C">
              <w:tblPrEx>
                <w:tblCellMar>
                  <w:top w:w="0" w:type="dxa"/>
                  <w:left w:w="0" w:type="dxa"/>
                  <w:bottom w:w="0" w:type="dxa"/>
                  <w:right w:w="0" w:type="dxa"/>
                </w:tblCellMar>
              </w:tblPrEx>
              <w:trPr>
                <w:trHeight w:val="285" w:hRule="atLeast"/>
                <w:jc w:val="center"/>
              </w:trPr>
              <w:tc>
                <w:tcPr>
                  <w:tcW w:w="768" w:type="dxa"/>
                  <w:vMerge w:val="restart"/>
                  <w:tcBorders>
                    <w:top w:val="single" w:color="auto" w:sz="4" w:space="0"/>
                    <w:left w:val="single" w:color="auto" w:sz="4" w:space="0"/>
                    <w:bottom w:val="single" w:color="auto" w:sz="4" w:space="0"/>
                    <w:right w:val="single" w:color="auto" w:sz="4" w:space="0"/>
                  </w:tcBorders>
                  <w:vAlign w:val="center"/>
                </w:tcPr>
                <w:p w14:paraId="3C2B511F">
                  <w:pPr>
                    <w:jc w:val="center"/>
                    <w:rPr>
                      <w:rFonts w:ascii="宋体"/>
                      <w:sz w:val="13"/>
                      <w:szCs w:val="13"/>
                    </w:rPr>
                  </w:pPr>
                  <w:r>
                    <w:rPr>
                      <w:rFonts w:hint="eastAsia" w:cs="宋体"/>
                      <w:sz w:val="13"/>
                      <w:szCs w:val="13"/>
                    </w:rPr>
                    <w:t>疲劳</w:t>
                  </w:r>
                  <w:r>
                    <w:rPr>
                      <w:rFonts w:cs="宋体"/>
                      <w:sz w:val="13"/>
                      <w:szCs w:val="13"/>
                    </w:rPr>
                    <w:t>性能</w:t>
                  </w:r>
                </w:p>
              </w:tc>
              <w:tc>
                <w:tcPr>
                  <w:tcW w:w="1885" w:type="dxa"/>
                  <w:tcBorders>
                    <w:top w:val="single" w:color="auto" w:sz="4" w:space="0"/>
                    <w:left w:val="nil"/>
                    <w:bottom w:val="single" w:color="auto" w:sz="4" w:space="0"/>
                    <w:right w:val="single" w:color="auto" w:sz="4" w:space="0"/>
                  </w:tcBorders>
                  <w:vAlign w:val="center"/>
                </w:tcPr>
                <w:p w14:paraId="64D3D8B1">
                  <w:pPr>
                    <w:jc w:val="center"/>
                    <w:rPr>
                      <w:rFonts w:ascii="宋体"/>
                      <w:sz w:val="13"/>
                      <w:szCs w:val="13"/>
                    </w:rPr>
                  </w:pPr>
                  <w:r>
                    <w:rPr>
                      <w:rFonts w:hint="eastAsia" w:cs="宋体"/>
                      <w:sz w:val="13"/>
                      <w:szCs w:val="13"/>
                    </w:rPr>
                    <w:t>竖向刚度变化率</w:t>
                  </w:r>
                </w:p>
              </w:tc>
              <w:tc>
                <w:tcPr>
                  <w:tcW w:w="1964" w:type="dxa"/>
                  <w:vMerge w:val="restart"/>
                  <w:tcBorders>
                    <w:top w:val="nil"/>
                    <w:left w:val="single" w:color="auto" w:sz="4" w:space="0"/>
                    <w:bottom w:val="single" w:color="auto" w:sz="4" w:space="0"/>
                    <w:right w:val="single" w:color="auto" w:sz="4" w:space="0"/>
                  </w:tcBorders>
                  <w:vAlign w:val="center"/>
                </w:tcPr>
                <w:p w14:paraId="2E2CF49D">
                  <w:pPr>
                    <w:jc w:val="center"/>
                    <w:rPr>
                      <w:rFonts w:ascii="宋体"/>
                      <w:sz w:val="13"/>
                      <w:szCs w:val="13"/>
                    </w:rPr>
                  </w:pPr>
                  <w:r>
                    <w:rPr>
                      <w:rFonts w:hint="eastAsia" w:ascii="宋体" w:hAnsi="宋体" w:cs="宋体"/>
                      <w:sz w:val="13"/>
                      <w:szCs w:val="13"/>
                    </w:rPr>
                    <w:t>±</w:t>
                  </w:r>
                  <w:r>
                    <w:rPr>
                      <w:sz w:val="13"/>
                      <w:szCs w:val="13"/>
                    </w:rPr>
                    <w:t>15%</w:t>
                  </w:r>
                </w:p>
              </w:tc>
            </w:tr>
            <w:tr w14:paraId="0FDDCEC9">
              <w:tblPrEx>
                <w:tblCellMar>
                  <w:top w:w="0" w:type="dxa"/>
                  <w:left w:w="0" w:type="dxa"/>
                  <w:bottom w:w="0" w:type="dxa"/>
                  <w:right w:w="0" w:type="dxa"/>
                </w:tblCellMar>
              </w:tblPrEx>
              <w:trPr>
                <w:trHeight w:val="285" w:hRule="atLeast"/>
                <w:jc w:val="center"/>
              </w:trPr>
              <w:tc>
                <w:tcPr>
                  <w:tcW w:w="768" w:type="dxa"/>
                  <w:vMerge w:val="continue"/>
                  <w:tcBorders>
                    <w:top w:val="nil"/>
                    <w:left w:val="single" w:color="auto" w:sz="4" w:space="0"/>
                    <w:bottom w:val="single" w:color="auto" w:sz="4" w:space="0"/>
                    <w:right w:val="single" w:color="auto" w:sz="4" w:space="0"/>
                  </w:tcBorders>
                  <w:vAlign w:val="center"/>
                </w:tcPr>
                <w:p w14:paraId="59FE0397">
                  <w:pPr>
                    <w:rPr>
                      <w:rFonts w:ascii="宋体"/>
                      <w:sz w:val="13"/>
                      <w:szCs w:val="13"/>
                    </w:rPr>
                  </w:pPr>
                </w:p>
              </w:tc>
              <w:tc>
                <w:tcPr>
                  <w:tcW w:w="1885" w:type="dxa"/>
                  <w:tcBorders>
                    <w:top w:val="nil"/>
                    <w:left w:val="nil"/>
                    <w:bottom w:val="single" w:color="auto" w:sz="4" w:space="0"/>
                    <w:right w:val="single" w:color="auto" w:sz="4" w:space="0"/>
                  </w:tcBorders>
                  <w:vAlign w:val="center"/>
                </w:tcPr>
                <w:p w14:paraId="00DCA15C">
                  <w:pPr>
                    <w:jc w:val="center"/>
                    <w:rPr>
                      <w:rFonts w:ascii="宋体"/>
                      <w:sz w:val="13"/>
                      <w:szCs w:val="13"/>
                    </w:rPr>
                  </w:pPr>
                  <w:r>
                    <w:rPr>
                      <w:rFonts w:hint="eastAsia" w:cs="宋体"/>
                      <w:sz w:val="13"/>
                      <w:szCs w:val="13"/>
                    </w:rPr>
                    <w:t>水平等效刚度变化率</w:t>
                  </w:r>
                </w:p>
              </w:tc>
              <w:tc>
                <w:tcPr>
                  <w:tcW w:w="1964" w:type="dxa"/>
                  <w:vMerge w:val="continue"/>
                  <w:tcBorders>
                    <w:top w:val="nil"/>
                    <w:left w:val="single" w:color="auto" w:sz="4" w:space="0"/>
                    <w:bottom w:val="single" w:color="auto" w:sz="4" w:space="0"/>
                    <w:right w:val="single" w:color="auto" w:sz="4" w:space="0"/>
                  </w:tcBorders>
                  <w:vAlign w:val="center"/>
                </w:tcPr>
                <w:p w14:paraId="2B26F04F">
                  <w:pPr>
                    <w:rPr>
                      <w:rFonts w:ascii="宋体"/>
                      <w:sz w:val="13"/>
                      <w:szCs w:val="13"/>
                    </w:rPr>
                  </w:pPr>
                </w:p>
              </w:tc>
            </w:tr>
            <w:tr w14:paraId="62182A21">
              <w:tblPrEx>
                <w:tblCellMar>
                  <w:top w:w="0" w:type="dxa"/>
                  <w:left w:w="0" w:type="dxa"/>
                  <w:bottom w:w="0" w:type="dxa"/>
                  <w:right w:w="0" w:type="dxa"/>
                </w:tblCellMar>
              </w:tblPrEx>
              <w:trPr>
                <w:trHeight w:val="285" w:hRule="atLeast"/>
                <w:jc w:val="center"/>
              </w:trPr>
              <w:tc>
                <w:tcPr>
                  <w:tcW w:w="768" w:type="dxa"/>
                  <w:vMerge w:val="continue"/>
                  <w:tcBorders>
                    <w:top w:val="nil"/>
                    <w:left w:val="single" w:color="auto" w:sz="4" w:space="0"/>
                    <w:bottom w:val="single" w:color="auto" w:sz="4" w:space="0"/>
                    <w:right w:val="single" w:color="auto" w:sz="4" w:space="0"/>
                  </w:tcBorders>
                  <w:vAlign w:val="center"/>
                </w:tcPr>
                <w:p w14:paraId="4B52A9F5">
                  <w:pPr>
                    <w:rPr>
                      <w:rFonts w:ascii="宋体"/>
                      <w:sz w:val="13"/>
                      <w:szCs w:val="13"/>
                    </w:rPr>
                  </w:pPr>
                </w:p>
              </w:tc>
              <w:tc>
                <w:tcPr>
                  <w:tcW w:w="1885" w:type="dxa"/>
                  <w:tcBorders>
                    <w:top w:val="nil"/>
                    <w:left w:val="nil"/>
                    <w:bottom w:val="single" w:color="auto" w:sz="4" w:space="0"/>
                    <w:right w:val="single" w:color="auto" w:sz="4" w:space="0"/>
                  </w:tcBorders>
                  <w:vAlign w:val="center"/>
                </w:tcPr>
                <w:p w14:paraId="3D4EEF4A">
                  <w:pPr>
                    <w:jc w:val="center"/>
                    <w:rPr>
                      <w:rFonts w:cs="宋体"/>
                      <w:sz w:val="13"/>
                      <w:szCs w:val="13"/>
                    </w:rPr>
                  </w:pPr>
                  <w:r>
                    <w:rPr>
                      <w:rFonts w:hint="eastAsia" w:cs="宋体"/>
                      <w:sz w:val="13"/>
                      <w:szCs w:val="13"/>
                    </w:rPr>
                    <w:t>等效阻尼比变化率</w:t>
                  </w:r>
                </w:p>
                <w:p w14:paraId="183EAC6C">
                  <w:pPr>
                    <w:jc w:val="center"/>
                    <w:rPr>
                      <w:rFonts w:ascii="宋体"/>
                      <w:sz w:val="13"/>
                      <w:szCs w:val="13"/>
                    </w:rPr>
                  </w:pPr>
                  <w:r>
                    <w:rPr>
                      <w:rFonts w:hint="eastAsia" w:cs="宋体"/>
                      <w:sz w:val="13"/>
                      <w:szCs w:val="13"/>
                    </w:rPr>
                    <w:t>（LRB</w:t>
                  </w:r>
                  <w:r>
                    <w:rPr>
                      <w:rFonts w:cs="宋体"/>
                      <w:sz w:val="13"/>
                      <w:szCs w:val="13"/>
                    </w:rPr>
                    <w:t>、HDR</w:t>
                  </w:r>
                  <w:r>
                    <w:rPr>
                      <w:rFonts w:hint="eastAsia" w:cs="宋体"/>
                      <w:sz w:val="13"/>
                      <w:szCs w:val="13"/>
                    </w:rPr>
                    <w:t>）</w:t>
                  </w:r>
                </w:p>
              </w:tc>
              <w:tc>
                <w:tcPr>
                  <w:tcW w:w="1964" w:type="dxa"/>
                  <w:vMerge w:val="continue"/>
                  <w:tcBorders>
                    <w:top w:val="nil"/>
                    <w:left w:val="single" w:color="auto" w:sz="4" w:space="0"/>
                    <w:bottom w:val="single" w:color="auto" w:sz="4" w:space="0"/>
                    <w:right w:val="single" w:color="auto" w:sz="4" w:space="0"/>
                  </w:tcBorders>
                  <w:vAlign w:val="center"/>
                </w:tcPr>
                <w:p w14:paraId="37696A1A">
                  <w:pPr>
                    <w:rPr>
                      <w:rFonts w:ascii="宋体"/>
                      <w:sz w:val="13"/>
                      <w:szCs w:val="13"/>
                    </w:rPr>
                  </w:pPr>
                </w:p>
              </w:tc>
            </w:tr>
            <w:tr w14:paraId="1DE20547">
              <w:tblPrEx>
                <w:tblCellMar>
                  <w:top w:w="0" w:type="dxa"/>
                  <w:left w:w="0" w:type="dxa"/>
                  <w:bottom w:w="0" w:type="dxa"/>
                  <w:right w:w="0" w:type="dxa"/>
                </w:tblCellMar>
              </w:tblPrEx>
              <w:trPr>
                <w:trHeight w:val="285" w:hRule="atLeast"/>
                <w:jc w:val="center"/>
              </w:trPr>
              <w:tc>
                <w:tcPr>
                  <w:tcW w:w="768" w:type="dxa"/>
                  <w:vMerge w:val="continue"/>
                  <w:tcBorders>
                    <w:top w:val="nil"/>
                    <w:left w:val="single" w:color="auto" w:sz="4" w:space="0"/>
                    <w:bottom w:val="single" w:color="auto" w:sz="4" w:space="0"/>
                    <w:right w:val="single" w:color="auto" w:sz="4" w:space="0"/>
                  </w:tcBorders>
                  <w:vAlign w:val="center"/>
                </w:tcPr>
                <w:p w14:paraId="54152727">
                  <w:pPr>
                    <w:rPr>
                      <w:rFonts w:ascii="宋体"/>
                      <w:sz w:val="13"/>
                      <w:szCs w:val="13"/>
                    </w:rPr>
                  </w:pPr>
                </w:p>
              </w:tc>
              <w:tc>
                <w:tcPr>
                  <w:tcW w:w="1885" w:type="dxa"/>
                  <w:tcBorders>
                    <w:top w:val="nil"/>
                    <w:left w:val="nil"/>
                    <w:bottom w:val="single" w:color="auto" w:sz="4" w:space="0"/>
                    <w:right w:val="single" w:color="auto" w:sz="4" w:space="0"/>
                  </w:tcBorders>
                  <w:vAlign w:val="center"/>
                </w:tcPr>
                <w:p w14:paraId="4A8BE3FA">
                  <w:pPr>
                    <w:jc w:val="center"/>
                    <w:rPr>
                      <w:rFonts w:ascii="宋体"/>
                      <w:sz w:val="13"/>
                      <w:szCs w:val="13"/>
                    </w:rPr>
                  </w:pPr>
                  <w:r>
                    <w:rPr>
                      <w:rFonts w:hint="eastAsia" w:cs="宋体"/>
                      <w:sz w:val="13"/>
                      <w:szCs w:val="13"/>
                    </w:rPr>
                    <w:t>支座外观</w:t>
                  </w:r>
                </w:p>
              </w:tc>
              <w:tc>
                <w:tcPr>
                  <w:tcW w:w="1964" w:type="dxa"/>
                  <w:tcBorders>
                    <w:top w:val="nil"/>
                    <w:left w:val="nil"/>
                    <w:bottom w:val="single" w:color="auto" w:sz="4" w:space="0"/>
                    <w:right w:val="single" w:color="auto" w:sz="4" w:space="0"/>
                  </w:tcBorders>
                  <w:vAlign w:val="center"/>
                </w:tcPr>
                <w:p w14:paraId="73B5BB5E">
                  <w:pPr>
                    <w:jc w:val="center"/>
                    <w:rPr>
                      <w:rFonts w:ascii="宋体"/>
                      <w:sz w:val="13"/>
                      <w:szCs w:val="13"/>
                    </w:rPr>
                  </w:pPr>
                  <w:r>
                    <w:rPr>
                      <w:rFonts w:hint="eastAsia" w:cs="宋体"/>
                      <w:sz w:val="13"/>
                      <w:szCs w:val="13"/>
                    </w:rPr>
                    <w:t>目视无龟裂</w:t>
                  </w:r>
                </w:p>
              </w:tc>
            </w:tr>
            <w:tr w14:paraId="7C238863">
              <w:tblPrEx>
                <w:tblCellMar>
                  <w:top w:w="0" w:type="dxa"/>
                  <w:left w:w="0" w:type="dxa"/>
                  <w:bottom w:w="0" w:type="dxa"/>
                  <w:right w:w="0" w:type="dxa"/>
                </w:tblCellMar>
              </w:tblPrEx>
              <w:trPr>
                <w:trHeight w:val="285" w:hRule="atLeast"/>
                <w:jc w:val="center"/>
              </w:trPr>
              <w:tc>
                <w:tcPr>
                  <w:tcW w:w="4617" w:type="dxa"/>
                  <w:gridSpan w:val="3"/>
                  <w:tcBorders>
                    <w:top w:val="single" w:color="auto" w:sz="4" w:space="0"/>
                    <w:left w:val="single" w:color="auto" w:sz="4" w:space="0"/>
                    <w:bottom w:val="single" w:color="auto" w:sz="4" w:space="0"/>
                    <w:right w:val="single" w:color="auto" w:sz="4" w:space="0"/>
                  </w:tcBorders>
                  <w:vAlign w:val="center"/>
                </w:tcPr>
                <w:p w14:paraId="02F13FA6">
                  <w:pPr>
                    <w:jc w:val="center"/>
                    <w:rPr>
                      <w:sz w:val="13"/>
                      <w:szCs w:val="13"/>
                    </w:rPr>
                  </w:pPr>
                  <w:r>
                    <w:rPr>
                      <w:rFonts w:hint="eastAsia"/>
                      <w:sz w:val="13"/>
                      <w:szCs w:val="13"/>
                    </w:rPr>
                    <w:t>注</w:t>
                  </w:r>
                  <w:r>
                    <w:rPr>
                      <w:sz w:val="13"/>
                      <w:szCs w:val="13"/>
                    </w:rPr>
                    <w:t>：表中未</w:t>
                  </w:r>
                  <w:r>
                    <w:rPr>
                      <w:rFonts w:hint="eastAsia"/>
                      <w:sz w:val="13"/>
                      <w:szCs w:val="13"/>
                    </w:rPr>
                    <w:t>特别注明的</w:t>
                  </w:r>
                  <w:r>
                    <w:rPr>
                      <w:sz w:val="13"/>
                      <w:szCs w:val="13"/>
                    </w:rPr>
                    <w:t>性能要求适用于天然橡胶支座、铅芯橡胶支座和高阻尼</w:t>
                  </w:r>
                  <w:r>
                    <w:rPr>
                      <w:rFonts w:hint="eastAsia"/>
                      <w:sz w:val="13"/>
                      <w:szCs w:val="13"/>
                    </w:rPr>
                    <w:t>橡胶</w:t>
                  </w:r>
                  <w:r>
                    <w:rPr>
                      <w:sz w:val="13"/>
                      <w:szCs w:val="13"/>
                    </w:rPr>
                    <w:t>支座</w:t>
                  </w:r>
                  <w:r>
                    <w:rPr>
                      <w:rFonts w:hint="eastAsia"/>
                      <w:sz w:val="13"/>
                      <w:szCs w:val="13"/>
                    </w:rPr>
                    <w:t>。</w:t>
                  </w:r>
                </w:p>
              </w:tc>
            </w:tr>
          </w:tbl>
          <w:p w14:paraId="7A3429F0">
            <w:pPr>
              <w:pStyle w:val="72"/>
              <w:ind w:firstLine="0" w:firstLineChars="0"/>
              <w:jc w:val="center"/>
              <w:rPr>
                <w:rFonts w:hint="eastAsia" w:ascii="黑体" w:hAnsi="黑体" w:eastAsia="黑体"/>
              </w:rPr>
            </w:pPr>
          </w:p>
        </w:tc>
        <w:tc>
          <w:tcPr>
            <w:tcW w:w="5126" w:type="dxa"/>
          </w:tcPr>
          <w:p w14:paraId="3E39C337">
            <w:pPr>
              <w:pStyle w:val="73"/>
              <w:numPr>
                <w:ilvl w:val="2"/>
                <w:numId w:val="0"/>
              </w:numPr>
              <w:jc w:val="both"/>
              <w:rPr>
                <w:rFonts w:cs="黑体"/>
              </w:rPr>
            </w:pPr>
            <w:r>
              <w:rPr>
                <w:rFonts w:hint="eastAsia" w:cs="黑体"/>
              </w:rPr>
              <w:t>6.5 耐久性</w:t>
            </w:r>
          </w:p>
          <w:p w14:paraId="4902E587">
            <w:pPr>
              <w:pStyle w:val="72"/>
              <w:ind w:firstLine="420"/>
              <w:rPr>
                <w:rFonts w:cs="Times New Roman"/>
              </w:rPr>
            </w:pPr>
            <w:r>
              <w:rPr>
                <w:rFonts w:hint="eastAsia"/>
              </w:rPr>
              <w:t>耐久性包括老化性能、徐变性能、疲劳性能，应符合表</w:t>
            </w:r>
            <w:r>
              <w:rPr>
                <w:bdr w:val="single" w:color="auto" w:sz="2" w:space="0"/>
              </w:rPr>
              <w:t>6</w:t>
            </w:r>
            <w:r>
              <w:rPr>
                <w:rFonts w:hint="eastAsia"/>
                <w:u w:val="single"/>
              </w:rPr>
              <w:t>7</w:t>
            </w:r>
            <w:r>
              <w:rPr>
                <w:rFonts w:hint="eastAsia"/>
              </w:rPr>
              <w:t>的规定。</w:t>
            </w:r>
          </w:p>
          <w:p w14:paraId="0F2C5000">
            <w:pPr>
              <w:pStyle w:val="72"/>
              <w:ind w:firstLine="0" w:firstLineChars="0"/>
              <w:jc w:val="center"/>
              <w:rPr>
                <w:rFonts w:hint="eastAsia" w:ascii="黑体" w:hAnsi="黑体" w:eastAsia="黑体"/>
              </w:rPr>
            </w:pPr>
            <w:r>
              <w:rPr>
                <w:rFonts w:hint="eastAsia" w:ascii="黑体" w:hAnsi="黑体" w:eastAsia="黑体"/>
              </w:rPr>
              <w:t>表</w:t>
            </w:r>
            <w:r>
              <w:rPr>
                <w:rFonts w:ascii="黑体" w:hAnsi="黑体" w:eastAsia="黑体"/>
                <w:bdr w:val="single" w:color="auto" w:sz="2" w:space="0"/>
              </w:rPr>
              <w:t>6</w:t>
            </w:r>
            <w:r>
              <w:rPr>
                <w:rFonts w:hint="eastAsia" w:ascii="黑体" w:hAnsi="黑体" w:eastAsia="黑体"/>
                <w:u w:val="single"/>
              </w:rPr>
              <w:t>7</w:t>
            </w:r>
            <w:r>
              <w:rPr>
                <w:rFonts w:ascii="黑体" w:hAnsi="黑体" w:eastAsia="黑体"/>
              </w:rPr>
              <w:t xml:space="preserve"> </w:t>
            </w:r>
            <w:r>
              <w:rPr>
                <w:rFonts w:hint="eastAsia" w:ascii="黑体" w:hAnsi="黑体" w:eastAsia="黑体"/>
              </w:rPr>
              <w:t>耐久性性能要求</w:t>
            </w:r>
          </w:p>
          <w:tbl>
            <w:tblPr>
              <w:tblStyle w:val="32"/>
              <w:tblW w:w="4846" w:type="dxa"/>
              <w:jc w:val="center"/>
              <w:tblLayout w:type="fixed"/>
              <w:tblCellMar>
                <w:top w:w="0" w:type="dxa"/>
                <w:left w:w="0" w:type="dxa"/>
                <w:bottom w:w="0" w:type="dxa"/>
                <w:right w:w="0" w:type="dxa"/>
              </w:tblCellMar>
            </w:tblPr>
            <w:tblGrid>
              <w:gridCol w:w="614"/>
              <w:gridCol w:w="610"/>
              <w:gridCol w:w="1768"/>
              <w:gridCol w:w="1854"/>
            </w:tblGrid>
            <w:tr w14:paraId="2FA8DD05">
              <w:tblPrEx>
                <w:tblCellMar>
                  <w:top w:w="0" w:type="dxa"/>
                  <w:left w:w="0" w:type="dxa"/>
                  <w:bottom w:w="0" w:type="dxa"/>
                  <w:right w:w="0" w:type="dxa"/>
                </w:tblCellMar>
              </w:tblPrEx>
              <w:trPr>
                <w:trHeight w:val="300" w:hRule="atLeast"/>
                <w:jc w:val="center"/>
              </w:trPr>
              <w:tc>
                <w:tcPr>
                  <w:tcW w:w="614" w:type="dxa"/>
                  <w:tcBorders>
                    <w:top w:val="single" w:color="auto" w:sz="4" w:space="0"/>
                    <w:left w:val="single" w:color="auto" w:sz="4" w:space="0"/>
                    <w:bottom w:val="single" w:color="auto" w:sz="4" w:space="0"/>
                    <w:right w:val="single" w:color="auto" w:sz="4" w:space="0"/>
                  </w:tcBorders>
                  <w:vAlign w:val="center"/>
                </w:tcPr>
                <w:p w14:paraId="3205CF51">
                  <w:pPr>
                    <w:jc w:val="center"/>
                    <w:rPr>
                      <w:rFonts w:cs="宋体"/>
                      <w:sz w:val="13"/>
                      <w:szCs w:val="13"/>
                    </w:rPr>
                  </w:pPr>
                  <w:r>
                    <w:rPr>
                      <w:rFonts w:hint="eastAsia" w:cs="宋体"/>
                      <w:sz w:val="13"/>
                      <w:szCs w:val="13"/>
                      <w:u w:val="single"/>
                    </w:rPr>
                    <w:t>序号</w:t>
                  </w:r>
                </w:p>
              </w:tc>
              <w:tc>
                <w:tcPr>
                  <w:tcW w:w="2378" w:type="dxa"/>
                  <w:gridSpan w:val="2"/>
                  <w:tcBorders>
                    <w:top w:val="single" w:color="auto" w:sz="4" w:space="0"/>
                    <w:left w:val="single" w:color="auto" w:sz="4" w:space="0"/>
                    <w:bottom w:val="single" w:color="auto" w:sz="4" w:space="0"/>
                    <w:right w:val="single" w:color="auto" w:sz="4" w:space="0"/>
                  </w:tcBorders>
                  <w:vAlign w:val="center"/>
                </w:tcPr>
                <w:p w14:paraId="23EF1C90">
                  <w:pPr>
                    <w:jc w:val="center"/>
                    <w:rPr>
                      <w:rFonts w:ascii="宋体"/>
                      <w:sz w:val="13"/>
                      <w:szCs w:val="13"/>
                    </w:rPr>
                  </w:pPr>
                  <w:r>
                    <w:rPr>
                      <w:rFonts w:hint="eastAsia" w:cs="宋体"/>
                      <w:sz w:val="13"/>
                      <w:szCs w:val="13"/>
                    </w:rPr>
                    <w:t>项目</w:t>
                  </w:r>
                </w:p>
              </w:tc>
              <w:tc>
                <w:tcPr>
                  <w:tcW w:w="1854" w:type="dxa"/>
                  <w:tcBorders>
                    <w:top w:val="single" w:color="auto" w:sz="4" w:space="0"/>
                    <w:left w:val="single" w:color="auto" w:sz="4" w:space="0"/>
                    <w:bottom w:val="single" w:color="auto" w:sz="4" w:space="0"/>
                    <w:right w:val="single" w:color="auto" w:sz="4" w:space="0"/>
                  </w:tcBorders>
                  <w:vAlign w:val="center"/>
                </w:tcPr>
                <w:p w14:paraId="27277464">
                  <w:pPr>
                    <w:jc w:val="center"/>
                    <w:rPr>
                      <w:rFonts w:ascii="宋体"/>
                      <w:sz w:val="13"/>
                      <w:szCs w:val="13"/>
                    </w:rPr>
                  </w:pPr>
                  <w:r>
                    <w:rPr>
                      <w:rFonts w:hint="eastAsia" w:cs="宋体"/>
                      <w:sz w:val="13"/>
                      <w:szCs w:val="13"/>
                    </w:rPr>
                    <w:t>性能要求</w:t>
                  </w:r>
                </w:p>
              </w:tc>
            </w:tr>
            <w:tr w14:paraId="055C5828">
              <w:trPr>
                <w:trHeight w:val="300" w:hRule="atLeast"/>
                <w:jc w:val="center"/>
              </w:trPr>
              <w:tc>
                <w:tcPr>
                  <w:tcW w:w="614" w:type="dxa"/>
                  <w:vMerge w:val="restart"/>
                  <w:tcBorders>
                    <w:top w:val="single" w:color="auto" w:sz="4" w:space="0"/>
                    <w:left w:val="single" w:color="auto" w:sz="4" w:space="0"/>
                    <w:right w:val="single" w:color="auto" w:sz="4" w:space="0"/>
                  </w:tcBorders>
                  <w:vAlign w:val="center"/>
                </w:tcPr>
                <w:p w14:paraId="7C33E799">
                  <w:pPr>
                    <w:jc w:val="center"/>
                    <w:rPr>
                      <w:rFonts w:cs="宋体"/>
                      <w:sz w:val="13"/>
                      <w:szCs w:val="13"/>
                    </w:rPr>
                  </w:pPr>
                  <w:r>
                    <w:rPr>
                      <w:rFonts w:hint="eastAsia" w:cs="宋体"/>
                      <w:sz w:val="13"/>
                      <w:szCs w:val="13"/>
                      <w:u w:val="single"/>
                    </w:rPr>
                    <w:t>1</w:t>
                  </w:r>
                </w:p>
              </w:tc>
              <w:tc>
                <w:tcPr>
                  <w:tcW w:w="610" w:type="dxa"/>
                  <w:vMerge w:val="restart"/>
                  <w:tcBorders>
                    <w:top w:val="single" w:color="auto" w:sz="4" w:space="0"/>
                    <w:left w:val="single" w:color="auto" w:sz="4" w:space="0"/>
                    <w:bottom w:val="single" w:color="auto" w:sz="4" w:space="0"/>
                    <w:right w:val="single" w:color="auto" w:sz="4" w:space="0"/>
                  </w:tcBorders>
                  <w:vAlign w:val="center"/>
                </w:tcPr>
                <w:p w14:paraId="6E48D02A">
                  <w:pPr>
                    <w:jc w:val="center"/>
                    <w:rPr>
                      <w:rFonts w:ascii="宋体"/>
                      <w:sz w:val="13"/>
                      <w:szCs w:val="13"/>
                    </w:rPr>
                  </w:pPr>
                  <w:r>
                    <w:rPr>
                      <w:rFonts w:hint="eastAsia" w:cs="宋体"/>
                      <w:sz w:val="13"/>
                      <w:szCs w:val="13"/>
                    </w:rPr>
                    <w:t>老化性能</w:t>
                  </w:r>
                </w:p>
              </w:tc>
              <w:tc>
                <w:tcPr>
                  <w:tcW w:w="1768" w:type="dxa"/>
                  <w:tcBorders>
                    <w:top w:val="single" w:color="auto" w:sz="4" w:space="0"/>
                    <w:left w:val="nil"/>
                    <w:bottom w:val="single" w:color="auto" w:sz="4" w:space="0"/>
                    <w:right w:val="single" w:color="auto" w:sz="4" w:space="0"/>
                  </w:tcBorders>
                  <w:vAlign w:val="center"/>
                </w:tcPr>
                <w:p w14:paraId="7A66D790">
                  <w:pPr>
                    <w:jc w:val="center"/>
                    <w:rPr>
                      <w:rFonts w:ascii="宋体"/>
                      <w:sz w:val="13"/>
                      <w:szCs w:val="13"/>
                    </w:rPr>
                  </w:pPr>
                  <w:r>
                    <w:rPr>
                      <w:rFonts w:hint="eastAsia" w:cs="宋体"/>
                      <w:sz w:val="13"/>
                      <w:szCs w:val="13"/>
                    </w:rPr>
                    <w:t>竖向刚度变化率</w:t>
                  </w:r>
                </w:p>
              </w:tc>
              <w:tc>
                <w:tcPr>
                  <w:tcW w:w="1854" w:type="dxa"/>
                  <w:vMerge w:val="restart"/>
                  <w:tcBorders>
                    <w:top w:val="single" w:color="auto" w:sz="4" w:space="0"/>
                    <w:left w:val="single" w:color="auto" w:sz="4" w:space="0"/>
                    <w:right w:val="single" w:color="auto" w:sz="4" w:space="0"/>
                  </w:tcBorders>
                  <w:vAlign w:val="center"/>
                </w:tcPr>
                <w:p w14:paraId="56689656">
                  <w:pPr>
                    <w:jc w:val="center"/>
                    <w:rPr>
                      <w:rFonts w:ascii="宋体"/>
                      <w:sz w:val="13"/>
                      <w:szCs w:val="13"/>
                    </w:rPr>
                  </w:pPr>
                  <w:r>
                    <w:rPr>
                      <w:rFonts w:hint="eastAsia" w:ascii="宋体" w:hAnsi="宋体" w:cs="宋体"/>
                      <w:sz w:val="13"/>
                      <w:szCs w:val="13"/>
                      <w:u w:val="single"/>
                    </w:rPr>
                    <w:t>允许偏差为</w:t>
                  </w:r>
                  <w:r>
                    <w:rPr>
                      <w:rFonts w:hint="eastAsia" w:ascii="宋体" w:hAnsi="宋体" w:cs="宋体"/>
                      <w:sz w:val="13"/>
                      <w:szCs w:val="13"/>
                    </w:rPr>
                    <w:t>±</w:t>
                  </w:r>
                  <w:r>
                    <w:rPr>
                      <w:sz w:val="13"/>
                      <w:szCs w:val="13"/>
                    </w:rPr>
                    <w:t>20%</w:t>
                  </w:r>
                </w:p>
              </w:tc>
            </w:tr>
            <w:tr w14:paraId="47657B25">
              <w:tblPrEx>
                <w:tblCellMar>
                  <w:top w:w="0" w:type="dxa"/>
                  <w:left w:w="0" w:type="dxa"/>
                  <w:bottom w:w="0" w:type="dxa"/>
                  <w:right w:w="0" w:type="dxa"/>
                </w:tblCellMar>
              </w:tblPrEx>
              <w:trPr>
                <w:trHeight w:val="285" w:hRule="atLeast"/>
                <w:jc w:val="center"/>
              </w:trPr>
              <w:tc>
                <w:tcPr>
                  <w:tcW w:w="614" w:type="dxa"/>
                  <w:vMerge w:val="continue"/>
                  <w:tcBorders>
                    <w:left w:val="single" w:color="auto" w:sz="4" w:space="0"/>
                    <w:right w:val="single" w:color="auto" w:sz="4" w:space="0"/>
                  </w:tcBorders>
                  <w:vAlign w:val="center"/>
                </w:tcPr>
                <w:p w14:paraId="42AEB41F">
                  <w:pPr>
                    <w:rPr>
                      <w:rFonts w:ascii="宋体"/>
                      <w:sz w:val="13"/>
                      <w:szCs w:val="13"/>
                    </w:rPr>
                  </w:pPr>
                </w:p>
              </w:tc>
              <w:tc>
                <w:tcPr>
                  <w:tcW w:w="610" w:type="dxa"/>
                  <w:vMerge w:val="continue"/>
                  <w:tcBorders>
                    <w:top w:val="nil"/>
                    <w:left w:val="single" w:color="auto" w:sz="4" w:space="0"/>
                    <w:bottom w:val="single" w:color="auto" w:sz="4" w:space="0"/>
                    <w:right w:val="single" w:color="auto" w:sz="4" w:space="0"/>
                  </w:tcBorders>
                  <w:vAlign w:val="center"/>
                </w:tcPr>
                <w:p w14:paraId="4340EEF1">
                  <w:pPr>
                    <w:rPr>
                      <w:rFonts w:ascii="宋体"/>
                      <w:sz w:val="13"/>
                      <w:szCs w:val="13"/>
                    </w:rPr>
                  </w:pPr>
                </w:p>
              </w:tc>
              <w:tc>
                <w:tcPr>
                  <w:tcW w:w="1768" w:type="dxa"/>
                  <w:tcBorders>
                    <w:top w:val="nil"/>
                    <w:left w:val="nil"/>
                    <w:bottom w:val="single" w:color="auto" w:sz="4" w:space="0"/>
                    <w:right w:val="single" w:color="auto" w:sz="4" w:space="0"/>
                  </w:tcBorders>
                  <w:vAlign w:val="center"/>
                </w:tcPr>
                <w:p w14:paraId="2D1B59AF">
                  <w:pPr>
                    <w:jc w:val="center"/>
                    <w:rPr>
                      <w:rFonts w:ascii="宋体"/>
                      <w:sz w:val="13"/>
                      <w:szCs w:val="13"/>
                    </w:rPr>
                  </w:pPr>
                  <w:r>
                    <w:rPr>
                      <w:rFonts w:hint="eastAsia" w:cs="宋体"/>
                      <w:sz w:val="13"/>
                      <w:szCs w:val="13"/>
                    </w:rPr>
                    <w:t>水平等效刚度变化率</w:t>
                  </w:r>
                </w:p>
              </w:tc>
              <w:tc>
                <w:tcPr>
                  <w:tcW w:w="1854" w:type="dxa"/>
                  <w:vMerge w:val="continue"/>
                  <w:tcBorders>
                    <w:left w:val="single" w:color="auto" w:sz="4" w:space="0"/>
                    <w:right w:val="single" w:color="auto" w:sz="4" w:space="0"/>
                  </w:tcBorders>
                  <w:vAlign w:val="center"/>
                </w:tcPr>
                <w:p w14:paraId="0D4C6904">
                  <w:pPr>
                    <w:rPr>
                      <w:rFonts w:ascii="宋体"/>
                      <w:sz w:val="13"/>
                      <w:szCs w:val="13"/>
                    </w:rPr>
                  </w:pPr>
                </w:p>
              </w:tc>
            </w:tr>
            <w:tr w14:paraId="7B314586">
              <w:tblPrEx>
                <w:tblCellMar>
                  <w:top w:w="0" w:type="dxa"/>
                  <w:left w:w="0" w:type="dxa"/>
                  <w:bottom w:w="0" w:type="dxa"/>
                  <w:right w:w="0" w:type="dxa"/>
                </w:tblCellMar>
              </w:tblPrEx>
              <w:trPr>
                <w:trHeight w:val="285" w:hRule="atLeast"/>
                <w:jc w:val="center"/>
              </w:trPr>
              <w:tc>
                <w:tcPr>
                  <w:tcW w:w="614" w:type="dxa"/>
                  <w:vMerge w:val="continue"/>
                  <w:tcBorders>
                    <w:left w:val="single" w:color="auto" w:sz="4" w:space="0"/>
                    <w:right w:val="single" w:color="auto" w:sz="4" w:space="0"/>
                  </w:tcBorders>
                  <w:vAlign w:val="center"/>
                </w:tcPr>
                <w:p w14:paraId="1B32193A">
                  <w:pPr>
                    <w:rPr>
                      <w:rFonts w:ascii="宋体"/>
                      <w:sz w:val="13"/>
                      <w:szCs w:val="13"/>
                    </w:rPr>
                  </w:pPr>
                </w:p>
              </w:tc>
              <w:tc>
                <w:tcPr>
                  <w:tcW w:w="610" w:type="dxa"/>
                  <w:vMerge w:val="continue"/>
                  <w:tcBorders>
                    <w:top w:val="nil"/>
                    <w:left w:val="single" w:color="auto" w:sz="4" w:space="0"/>
                    <w:bottom w:val="single" w:color="auto" w:sz="4" w:space="0"/>
                    <w:right w:val="single" w:color="auto" w:sz="4" w:space="0"/>
                  </w:tcBorders>
                  <w:vAlign w:val="center"/>
                </w:tcPr>
                <w:p w14:paraId="6BFE974A">
                  <w:pPr>
                    <w:rPr>
                      <w:rFonts w:ascii="宋体"/>
                      <w:sz w:val="13"/>
                      <w:szCs w:val="13"/>
                    </w:rPr>
                  </w:pPr>
                </w:p>
              </w:tc>
              <w:tc>
                <w:tcPr>
                  <w:tcW w:w="1768" w:type="dxa"/>
                  <w:tcBorders>
                    <w:top w:val="nil"/>
                    <w:left w:val="nil"/>
                    <w:bottom w:val="single" w:color="auto" w:sz="4" w:space="0"/>
                    <w:right w:val="single" w:color="auto" w:sz="4" w:space="0"/>
                  </w:tcBorders>
                  <w:vAlign w:val="center"/>
                </w:tcPr>
                <w:p w14:paraId="20FEEE31">
                  <w:pPr>
                    <w:jc w:val="center"/>
                    <w:rPr>
                      <w:rFonts w:cs="宋体"/>
                      <w:sz w:val="13"/>
                      <w:szCs w:val="13"/>
                    </w:rPr>
                  </w:pPr>
                  <w:r>
                    <w:rPr>
                      <w:rFonts w:hint="eastAsia" w:cs="宋体"/>
                      <w:sz w:val="13"/>
                      <w:szCs w:val="13"/>
                    </w:rPr>
                    <w:t>等效阻尼比变化率</w:t>
                  </w:r>
                </w:p>
                <w:p w14:paraId="6F048E76">
                  <w:pPr>
                    <w:jc w:val="center"/>
                    <w:rPr>
                      <w:rFonts w:ascii="宋体"/>
                      <w:sz w:val="13"/>
                      <w:szCs w:val="13"/>
                    </w:rPr>
                  </w:pPr>
                  <w:r>
                    <w:rPr>
                      <w:rFonts w:hint="eastAsia" w:cs="宋体"/>
                      <w:sz w:val="13"/>
                      <w:szCs w:val="13"/>
                    </w:rPr>
                    <w:t>（LRB</w:t>
                  </w:r>
                  <w:r>
                    <w:rPr>
                      <w:rFonts w:cs="宋体"/>
                      <w:sz w:val="13"/>
                      <w:szCs w:val="13"/>
                    </w:rPr>
                    <w:t>、HDR</w:t>
                  </w:r>
                  <w:r>
                    <w:rPr>
                      <w:rFonts w:hint="eastAsia" w:cs="宋体"/>
                      <w:sz w:val="13"/>
                      <w:szCs w:val="13"/>
                    </w:rPr>
                    <w:t>）</w:t>
                  </w:r>
                </w:p>
              </w:tc>
              <w:tc>
                <w:tcPr>
                  <w:tcW w:w="1854" w:type="dxa"/>
                  <w:vMerge w:val="continue"/>
                  <w:tcBorders>
                    <w:left w:val="single" w:color="auto" w:sz="4" w:space="0"/>
                    <w:bottom w:val="single" w:color="auto" w:sz="4" w:space="0"/>
                    <w:right w:val="single" w:color="auto" w:sz="4" w:space="0"/>
                  </w:tcBorders>
                  <w:vAlign w:val="center"/>
                </w:tcPr>
                <w:p w14:paraId="1CDA3BB5">
                  <w:pPr>
                    <w:rPr>
                      <w:rFonts w:ascii="宋体"/>
                      <w:sz w:val="13"/>
                      <w:szCs w:val="13"/>
                    </w:rPr>
                  </w:pPr>
                </w:p>
              </w:tc>
            </w:tr>
            <w:tr w14:paraId="0DE579A9">
              <w:tblPrEx>
                <w:tblCellMar>
                  <w:top w:w="0" w:type="dxa"/>
                  <w:left w:w="0" w:type="dxa"/>
                  <w:bottom w:w="0" w:type="dxa"/>
                  <w:right w:w="0" w:type="dxa"/>
                </w:tblCellMar>
              </w:tblPrEx>
              <w:trPr>
                <w:trHeight w:val="390" w:hRule="atLeast"/>
                <w:jc w:val="center"/>
              </w:trPr>
              <w:tc>
                <w:tcPr>
                  <w:tcW w:w="614" w:type="dxa"/>
                  <w:vMerge w:val="continue"/>
                  <w:tcBorders>
                    <w:left w:val="single" w:color="auto" w:sz="4" w:space="0"/>
                    <w:right w:val="single" w:color="auto" w:sz="4" w:space="0"/>
                  </w:tcBorders>
                  <w:vAlign w:val="center"/>
                </w:tcPr>
                <w:p w14:paraId="2C451D6B">
                  <w:pPr>
                    <w:rPr>
                      <w:rFonts w:ascii="宋体"/>
                      <w:sz w:val="13"/>
                      <w:szCs w:val="13"/>
                    </w:rPr>
                  </w:pPr>
                </w:p>
              </w:tc>
              <w:tc>
                <w:tcPr>
                  <w:tcW w:w="610" w:type="dxa"/>
                  <w:vMerge w:val="continue"/>
                  <w:tcBorders>
                    <w:top w:val="nil"/>
                    <w:left w:val="single" w:color="auto" w:sz="4" w:space="0"/>
                    <w:bottom w:val="single" w:color="auto" w:sz="4" w:space="0"/>
                    <w:right w:val="single" w:color="auto" w:sz="4" w:space="0"/>
                  </w:tcBorders>
                  <w:vAlign w:val="center"/>
                </w:tcPr>
                <w:p w14:paraId="72864F89">
                  <w:pPr>
                    <w:rPr>
                      <w:rFonts w:ascii="宋体"/>
                      <w:sz w:val="13"/>
                      <w:szCs w:val="13"/>
                    </w:rPr>
                  </w:pPr>
                </w:p>
              </w:tc>
              <w:tc>
                <w:tcPr>
                  <w:tcW w:w="1768" w:type="dxa"/>
                  <w:tcBorders>
                    <w:top w:val="nil"/>
                    <w:left w:val="nil"/>
                    <w:bottom w:val="single" w:color="auto" w:sz="4" w:space="0"/>
                    <w:right w:val="single" w:color="auto" w:sz="4" w:space="0"/>
                  </w:tcBorders>
                  <w:vAlign w:val="center"/>
                </w:tcPr>
                <w:p w14:paraId="25A6276B">
                  <w:pPr>
                    <w:jc w:val="center"/>
                    <w:rPr>
                      <w:rFonts w:ascii="宋体"/>
                      <w:sz w:val="13"/>
                      <w:szCs w:val="13"/>
                    </w:rPr>
                  </w:pPr>
                  <w:r>
                    <w:rPr>
                      <w:rFonts w:hint="eastAsia" w:cs="宋体"/>
                      <w:sz w:val="13"/>
                      <w:szCs w:val="13"/>
                    </w:rPr>
                    <w:t>水平极限变形能力</w:t>
                  </w:r>
                </w:p>
              </w:tc>
              <w:tc>
                <w:tcPr>
                  <w:tcW w:w="1854" w:type="dxa"/>
                  <w:tcBorders>
                    <w:top w:val="single" w:color="auto" w:sz="4" w:space="0"/>
                    <w:left w:val="single" w:color="auto" w:sz="4" w:space="0"/>
                    <w:bottom w:val="single" w:color="auto" w:sz="4" w:space="0"/>
                    <w:right w:val="single" w:color="auto" w:sz="4" w:space="0"/>
                  </w:tcBorders>
                  <w:vAlign w:val="center"/>
                </w:tcPr>
                <w:p w14:paraId="7242F608">
                  <w:pPr>
                    <w:jc w:val="center"/>
                    <w:rPr>
                      <w:rFonts w:ascii="宋体"/>
                      <w:sz w:val="13"/>
                      <w:szCs w:val="13"/>
                    </w:rPr>
                  </w:pPr>
                  <w:r>
                    <w:rPr>
                      <w:kern w:val="0"/>
                      <w:sz w:val="13"/>
                      <w:szCs w:val="13"/>
                      <w:u w:val="single"/>
                    </w:rPr>
                    <w:t>极限剪切变形不应小于橡胶总厚度的</w:t>
                  </w:r>
                  <w:r>
                    <w:rPr>
                      <w:rFonts w:hint="eastAsia" w:cs="宋体"/>
                      <w:sz w:val="13"/>
                      <w:szCs w:val="13"/>
                      <w:bdr w:val="single" w:color="auto" w:sz="4" w:space="0"/>
                    </w:rPr>
                    <w:t>≥</w:t>
                  </w:r>
                  <w:r>
                    <w:rPr>
                      <w:sz w:val="13"/>
                      <w:szCs w:val="13"/>
                    </w:rPr>
                    <w:t>320%</w:t>
                  </w:r>
                  <w:r>
                    <w:rPr>
                      <w:rFonts w:hint="eastAsia"/>
                      <w:sz w:val="13"/>
                      <w:szCs w:val="13"/>
                      <w:bdr w:val="single" w:color="auto" w:sz="4" w:space="0"/>
                    </w:rPr>
                    <w:t>剪应变</w:t>
                  </w:r>
                  <w:r>
                    <w:rPr>
                      <w:rFonts w:hint="eastAsia"/>
                      <w:sz w:val="13"/>
                      <w:szCs w:val="13"/>
                    </w:rPr>
                    <w:t xml:space="preserve"> </w:t>
                  </w:r>
                </w:p>
              </w:tc>
            </w:tr>
            <w:tr w14:paraId="16B5BCF4">
              <w:tblPrEx>
                <w:tblCellMar>
                  <w:top w:w="0" w:type="dxa"/>
                  <w:left w:w="0" w:type="dxa"/>
                  <w:bottom w:w="0" w:type="dxa"/>
                  <w:right w:w="0" w:type="dxa"/>
                </w:tblCellMar>
              </w:tblPrEx>
              <w:trPr>
                <w:trHeight w:val="285" w:hRule="atLeast"/>
                <w:jc w:val="center"/>
              </w:trPr>
              <w:tc>
                <w:tcPr>
                  <w:tcW w:w="614" w:type="dxa"/>
                  <w:vMerge w:val="continue"/>
                  <w:tcBorders>
                    <w:left w:val="single" w:color="auto" w:sz="4" w:space="0"/>
                    <w:bottom w:val="single" w:color="auto" w:sz="4" w:space="0"/>
                    <w:right w:val="single" w:color="auto" w:sz="4" w:space="0"/>
                  </w:tcBorders>
                  <w:vAlign w:val="center"/>
                </w:tcPr>
                <w:p w14:paraId="3778F979">
                  <w:pPr>
                    <w:rPr>
                      <w:rFonts w:ascii="宋体"/>
                      <w:sz w:val="13"/>
                      <w:szCs w:val="13"/>
                    </w:rPr>
                  </w:pPr>
                </w:p>
              </w:tc>
              <w:tc>
                <w:tcPr>
                  <w:tcW w:w="610" w:type="dxa"/>
                  <w:vMerge w:val="continue"/>
                  <w:tcBorders>
                    <w:top w:val="nil"/>
                    <w:left w:val="single" w:color="auto" w:sz="4" w:space="0"/>
                    <w:bottom w:val="single" w:color="auto" w:sz="4" w:space="0"/>
                    <w:right w:val="single" w:color="auto" w:sz="4" w:space="0"/>
                  </w:tcBorders>
                  <w:vAlign w:val="center"/>
                </w:tcPr>
                <w:p w14:paraId="37076FD3">
                  <w:pPr>
                    <w:rPr>
                      <w:rFonts w:ascii="宋体"/>
                      <w:sz w:val="13"/>
                      <w:szCs w:val="13"/>
                    </w:rPr>
                  </w:pPr>
                </w:p>
              </w:tc>
              <w:tc>
                <w:tcPr>
                  <w:tcW w:w="1768" w:type="dxa"/>
                  <w:tcBorders>
                    <w:top w:val="nil"/>
                    <w:left w:val="nil"/>
                    <w:bottom w:val="single" w:color="auto" w:sz="4" w:space="0"/>
                    <w:right w:val="single" w:color="auto" w:sz="4" w:space="0"/>
                  </w:tcBorders>
                  <w:vAlign w:val="center"/>
                </w:tcPr>
                <w:p w14:paraId="3359B577">
                  <w:pPr>
                    <w:jc w:val="center"/>
                    <w:rPr>
                      <w:rFonts w:ascii="宋体"/>
                      <w:sz w:val="13"/>
                      <w:szCs w:val="13"/>
                    </w:rPr>
                  </w:pPr>
                  <w:r>
                    <w:rPr>
                      <w:rFonts w:hint="eastAsia" w:cs="宋体"/>
                      <w:sz w:val="13"/>
                      <w:szCs w:val="13"/>
                    </w:rPr>
                    <w:t>支座外观</w:t>
                  </w:r>
                </w:p>
              </w:tc>
              <w:tc>
                <w:tcPr>
                  <w:tcW w:w="1854" w:type="dxa"/>
                  <w:tcBorders>
                    <w:top w:val="nil"/>
                    <w:left w:val="nil"/>
                    <w:bottom w:val="single" w:color="auto" w:sz="4" w:space="0"/>
                    <w:right w:val="single" w:color="auto" w:sz="4" w:space="0"/>
                  </w:tcBorders>
                  <w:vAlign w:val="center"/>
                </w:tcPr>
                <w:p w14:paraId="13935878">
                  <w:pPr>
                    <w:jc w:val="center"/>
                    <w:rPr>
                      <w:rFonts w:ascii="宋体"/>
                      <w:sz w:val="13"/>
                      <w:szCs w:val="13"/>
                    </w:rPr>
                  </w:pPr>
                  <w:r>
                    <w:rPr>
                      <w:rFonts w:hint="eastAsia" w:cs="宋体"/>
                      <w:sz w:val="13"/>
                      <w:szCs w:val="13"/>
                    </w:rPr>
                    <w:t>目视无龟裂</w:t>
                  </w:r>
                </w:p>
              </w:tc>
            </w:tr>
            <w:tr w14:paraId="035431A6">
              <w:tblPrEx>
                <w:tblCellMar>
                  <w:top w:w="0" w:type="dxa"/>
                  <w:left w:w="0" w:type="dxa"/>
                  <w:bottom w:w="0" w:type="dxa"/>
                  <w:right w:w="0" w:type="dxa"/>
                </w:tblCellMar>
              </w:tblPrEx>
              <w:trPr>
                <w:trHeight w:val="285" w:hRule="atLeast"/>
                <w:jc w:val="center"/>
              </w:trPr>
              <w:tc>
                <w:tcPr>
                  <w:tcW w:w="614" w:type="dxa"/>
                  <w:tcBorders>
                    <w:top w:val="single" w:color="auto" w:sz="4" w:space="0"/>
                    <w:left w:val="single" w:color="auto" w:sz="4" w:space="0"/>
                    <w:bottom w:val="single" w:color="auto" w:sz="4" w:space="0"/>
                    <w:right w:val="single" w:color="auto" w:sz="4" w:space="0"/>
                  </w:tcBorders>
                  <w:vAlign w:val="center"/>
                </w:tcPr>
                <w:p w14:paraId="551E8972">
                  <w:pPr>
                    <w:jc w:val="center"/>
                    <w:rPr>
                      <w:rFonts w:cs="宋体"/>
                      <w:sz w:val="13"/>
                      <w:szCs w:val="13"/>
                    </w:rPr>
                  </w:pPr>
                  <w:r>
                    <w:rPr>
                      <w:rFonts w:hint="eastAsia" w:cs="宋体"/>
                      <w:sz w:val="13"/>
                      <w:szCs w:val="13"/>
                      <w:u w:val="single"/>
                    </w:rPr>
                    <w:t>2</w:t>
                  </w:r>
                </w:p>
              </w:tc>
              <w:tc>
                <w:tcPr>
                  <w:tcW w:w="610" w:type="dxa"/>
                  <w:tcBorders>
                    <w:top w:val="single" w:color="auto" w:sz="4" w:space="0"/>
                    <w:left w:val="single" w:color="auto" w:sz="4" w:space="0"/>
                    <w:bottom w:val="single" w:color="auto" w:sz="4" w:space="0"/>
                    <w:right w:val="single" w:color="auto" w:sz="4" w:space="0"/>
                  </w:tcBorders>
                  <w:vAlign w:val="center"/>
                </w:tcPr>
                <w:p w14:paraId="0F8BCC15">
                  <w:pPr>
                    <w:jc w:val="center"/>
                    <w:rPr>
                      <w:rFonts w:ascii="宋体"/>
                      <w:sz w:val="13"/>
                      <w:szCs w:val="13"/>
                    </w:rPr>
                  </w:pPr>
                  <w:r>
                    <w:rPr>
                      <w:rFonts w:hint="eastAsia" w:cs="宋体"/>
                      <w:sz w:val="13"/>
                      <w:szCs w:val="13"/>
                    </w:rPr>
                    <w:t>徐变性能</w:t>
                  </w:r>
                </w:p>
              </w:tc>
              <w:tc>
                <w:tcPr>
                  <w:tcW w:w="1768" w:type="dxa"/>
                  <w:tcBorders>
                    <w:top w:val="single" w:color="auto" w:sz="4" w:space="0"/>
                    <w:left w:val="single" w:color="auto" w:sz="4" w:space="0"/>
                    <w:bottom w:val="single" w:color="auto" w:sz="4" w:space="0"/>
                    <w:right w:val="single" w:color="auto" w:sz="4" w:space="0"/>
                  </w:tcBorders>
                  <w:vAlign w:val="center"/>
                </w:tcPr>
                <w:p w14:paraId="01210A2A">
                  <w:pPr>
                    <w:jc w:val="center"/>
                    <w:rPr>
                      <w:rFonts w:ascii="宋体"/>
                      <w:sz w:val="13"/>
                      <w:szCs w:val="13"/>
                    </w:rPr>
                  </w:pPr>
                  <w:r>
                    <w:rPr>
                      <w:rFonts w:hint="eastAsia" w:cs="宋体"/>
                      <w:sz w:val="13"/>
                      <w:szCs w:val="13"/>
                    </w:rPr>
                    <w:t>徐变量</w:t>
                  </w:r>
                </w:p>
              </w:tc>
              <w:tc>
                <w:tcPr>
                  <w:tcW w:w="1854" w:type="dxa"/>
                  <w:tcBorders>
                    <w:top w:val="nil"/>
                    <w:left w:val="nil"/>
                    <w:bottom w:val="single" w:color="auto" w:sz="4" w:space="0"/>
                    <w:right w:val="single" w:color="auto" w:sz="4" w:space="0"/>
                  </w:tcBorders>
                  <w:vAlign w:val="center"/>
                </w:tcPr>
                <w:p w14:paraId="6B8F9A23">
                  <w:pPr>
                    <w:jc w:val="left"/>
                    <w:rPr>
                      <w:sz w:val="13"/>
                      <w:szCs w:val="13"/>
                    </w:rPr>
                  </w:pPr>
                  <w:r>
                    <w:rPr>
                      <w:rFonts w:hint="eastAsia" w:cs="宋体"/>
                      <w:sz w:val="13"/>
                      <w:szCs w:val="13"/>
                    </w:rPr>
                    <w:t>天然</w:t>
                  </w:r>
                  <w:r>
                    <w:rPr>
                      <w:rFonts w:cs="宋体"/>
                      <w:sz w:val="13"/>
                      <w:szCs w:val="13"/>
                    </w:rPr>
                    <w:t>橡胶支座和铅芯橡胶支座</w:t>
                  </w:r>
                  <w:r>
                    <w:rPr>
                      <w:rFonts w:hint="eastAsia" w:cs="宋体"/>
                      <w:sz w:val="13"/>
                      <w:szCs w:val="13"/>
                    </w:rPr>
                    <w:t>不应大于橡胶层总厚度的</w:t>
                  </w:r>
                  <w:r>
                    <w:rPr>
                      <w:sz w:val="13"/>
                      <w:szCs w:val="13"/>
                    </w:rPr>
                    <w:t>5%</w:t>
                  </w:r>
                  <w:r>
                    <w:rPr>
                      <w:rFonts w:hint="eastAsia"/>
                      <w:sz w:val="13"/>
                      <w:szCs w:val="13"/>
                    </w:rPr>
                    <w:t>；</w:t>
                  </w:r>
                </w:p>
                <w:p w14:paraId="7F192959">
                  <w:pPr>
                    <w:jc w:val="left"/>
                    <w:rPr>
                      <w:rFonts w:ascii="宋体"/>
                      <w:sz w:val="13"/>
                      <w:szCs w:val="13"/>
                    </w:rPr>
                  </w:pPr>
                  <w:r>
                    <w:rPr>
                      <w:rFonts w:hint="eastAsia" w:cs="宋体"/>
                      <w:sz w:val="13"/>
                      <w:szCs w:val="13"/>
                    </w:rPr>
                    <w:t>高阻尼</w:t>
                  </w:r>
                  <w:r>
                    <w:rPr>
                      <w:rFonts w:cs="宋体"/>
                      <w:sz w:val="13"/>
                      <w:szCs w:val="13"/>
                    </w:rPr>
                    <w:t>橡胶支座</w:t>
                  </w:r>
                  <w:r>
                    <w:rPr>
                      <w:rFonts w:hint="eastAsia" w:cs="宋体"/>
                      <w:sz w:val="13"/>
                      <w:szCs w:val="13"/>
                    </w:rPr>
                    <w:t>不应大于橡胶层总厚度的</w:t>
                  </w:r>
                  <w:r>
                    <w:rPr>
                      <w:sz w:val="13"/>
                      <w:szCs w:val="13"/>
                    </w:rPr>
                    <w:t>10%</w:t>
                  </w:r>
                </w:p>
              </w:tc>
            </w:tr>
            <w:tr w14:paraId="7E85030F">
              <w:tblPrEx>
                <w:tblCellMar>
                  <w:top w:w="0" w:type="dxa"/>
                  <w:left w:w="0" w:type="dxa"/>
                  <w:bottom w:w="0" w:type="dxa"/>
                  <w:right w:w="0" w:type="dxa"/>
                </w:tblCellMar>
              </w:tblPrEx>
              <w:trPr>
                <w:trHeight w:val="285" w:hRule="atLeast"/>
                <w:jc w:val="center"/>
              </w:trPr>
              <w:tc>
                <w:tcPr>
                  <w:tcW w:w="614" w:type="dxa"/>
                  <w:vMerge w:val="restart"/>
                  <w:tcBorders>
                    <w:top w:val="single" w:color="auto" w:sz="4" w:space="0"/>
                    <w:left w:val="single" w:color="auto" w:sz="4" w:space="0"/>
                    <w:right w:val="single" w:color="auto" w:sz="4" w:space="0"/>
                  </w:tcBorders>
                  <w:vAlign w:val="center"/>
                </w:tcPr>
                <w:p w14:paraId="50015996">
                  <w:pPr>
                    <w:jc w:val="center"/>
                    <w:rPr>
                      <w:rFonts w:cs="宋体"/>
                      <w:sz w:val="13"/>
                      <w:szCs w:val="13"/>
                    </w:rPr>
                  </w:pPr>
                  <w:r>
                    <w:rPr>
                      <w:rFonts w:hint="eastAsia" w:cs="宋体"/>
                      <w:sz w:val="13"/>
                      <w:szCs w:val="13"/>
                      <w:u w:val="single"/>
                    </w:rPr>
                    <w:t>3</w:t>
                  </w:r>
                </w:p>
              </w:tc>
              <w:tc>
                <w:tcPr>
                  <w:tcW w:w="610" w:type="dxa"/>
                  <w:vMerge w:val="restart"/>
                  <w:tcBorders>
                    <w:top w:val="single" w:color="auto" w:sz="4" w:space="0"/>
                    <w:left w:val="single" w:color="auto" w:sz="4" w:space="0"/>
                    <w:bottom w:val="single" w:color="auto" w:sz="4" w:space="0"/>
                    <w:right w:val="single" w:color="auto" w:sz="4" w:space="0"/>
                  </w:tcBorders>
                  <w:vAlign w:val="center"/>
                </w:tcPr>
                <w:p w14:paraId="5ED6B6BF">
                  <w:pPr>
                    <w:jc w:val="center"/>
                    <w:rPr>
                      <w:rFonts w:ascii="宋体"/>
                      <w:sz w:val="13"/>
                      <w:szCs w:val="13"/>
                    </w:rPr>
                  </w:pPr>
                  <w:r>
                    <w:rPr>
                      <w:rFonts w:hint="eastAsia" w:cs="宋体"/>
                      <w:sz w:val="13"/>
                      <w:szCs w:val="13"/>
                    </w:rPr>
                    <w:t>疲劳</w:t>
                  </w:r>
                  <w:r>
                    <w:rPr>
                      <w:rFonts w:cs="宋体"/>
                      <w:sz w:val="13"/>
                      <w:szCs w:val="13"/>
                    </w:rPr>
                    <w:t>性能</w:t>
                  </w:r>
                </w:p>
              </w:tc>
              <w:tc>
                <w:tcPr>
                  <w:tcW w:w="1768" w:type="dxa"/>
                  <w:tcBorders>
                    <w:top w:val="single" w:color="auto" w:sz="4" w:space="0"/>
                    <w:left w:val="nil"/>
                    <w:bottom w:val="single" w:color="auto" w:sz="4" w:space="0"/>
                    <w:right w:val="single" w:color="auto" w:sz="4" w:space="0"/>
                  </w:tcBorders>
                  <w:vAlign w:val="center"/>
                </w:tcPr>
                <w:p w14:paraId="6E2D9367">
                  <w:pPr>
                    <w:jc w:val="center"/>
                    <w:rPr>
                      <w:rFonts w:ascii="宋体"/>
                      <w:sz w:val="13"/>
                      <w:szCs w:val="13"/>
                    </w:rPr>
                  </w:pPr>
                  <w:r>
                    <w:rPr>
                      <w:rFonts w:hint="eastAsia" w:cs="宋体"/>
                      <w:sz w:val="13"/>
                      <w:szCs w:val="13"/>
                      <w:bdr w:val="single" w:color="auto" w:sz="2" w:space="0"/>
                    </w:rPr>
                    <w:t>竖向刚度变化率</w:t>
                  </w:r>
                </w:p>
              </w:tc>
              <w:tc>
                <w:tcPr>
                  <w:tcW w:w="1854" w:type="dxa"/>
                  <w:vMerge w:val="restart"/>
                  <w:tcBorders>
                    <w:top w:val="nil"/>
                    <w:left w:val="single" w:color="auto" w:sz="4" w:space="0"/>
                    <w:bottom w:val="single" w:color="auto" w:sz="4" w:space="0"/>
                    <w:right w:val="single" w:color="auto" w:sz="4" w:space="0"/>
                  </w:tcBorders>
                  <w:vAlign w:val="center"/>
                </w:tcPr>
                <w:p w14:paraId="657CC456">
                  <w:pPr>
                    <w:jc w:val="center"/>
                    <w:rPr>
                      <w:rFonts w:ascii="宋体"/>
                      <w:sz w:val="13"/>
                      <w:szCs w:val="13"/>
                    </w:rPr>
                  </w:pPr>
                  <w:r>
                    <w:rPr>
                      <w:rFonts w:hint="eastAsia" w:ascii="宋体" w:hAnsi="宋体" w:cs="宋体"/>
                      <w:sz w:val="13"/>
                      <w:szCs w:val="13"/>
                      <w:bdr w:val="single" w:color="auto" w:sz="4" w:space="0"/>
                    </w:rPr>
                    <w:t>±</w:t>
                  </w:r>
                  <w:r>
                    <w:rPr>
                      <w:sz w:val="13"/>
                      <w:szCs w:val="13"/>
                      <w:bdr w:val="single" w:color="auto" w:sz="4" w:space="0"/>
                    </w:rPr>
                    <w:t>15%</w:t>
                  </w:r>
                  <w:r>
                    <w:rPr>
                      <w:rFonts w:hint="eastAsia" w:ascii="宋体" w:hAnsi="宋体" w:cs="宋体"/>
                      <w:sz w:val="13"/>
                      <w:szCs w:val="13"/>
                      <w:u w:val="single"/>
                    </w:rPr>
                    <w:t>第3圈和第49圈的水平等效刚度和效阻尼比的允许偏差为±</w:t>
                  </w:r>
                  <w:r>
                    <w:rPr>
                      <w:rFonts w:hint="eastAsia"/>
                      <w:sz w:val="13"/>
                      <w:szCs w:val="13"/>
                      <w:u w:val="single"/>
                    </w:rPr>
                    <w:t>2</w:t>
                  </w:r>
                  <w:r>
                    <w:rPr>
                      <w:sz w:val="13"/>
                      <w:szCs w:val="13"/>
                      <w:u w:val="single"/>
                    </w:rPr>
                    <w:t>5%</w:t>
                  </w:r>
                </w:p>
              </w:tc>
            </w:tr>
            <w:tr w14:paraId="53DE2AC1">
              <w:tblPrEx>
                <w:tblCellMar>
                  <w:top w:w="0" w:type="dxa"/>
                  <w:left w:w="0" w:type="dxa"/>
                  <w:bottom w:w="0" w:type="dxa"/>
                  <w:right w:w="0" w:type="dxa"/>
                </w:tblCellMar>
              </w:tblPrEx>
              <w:trPr>
                <w:trHeight w:val="285" w:hRule="atLeast"/>
                <w:jc w:val="center"/>
              </w:trPr>
              <w:tc>
                <w:tcPr>
                  <w:tcW w:w="614" w:type="dxa"/>
                  <w:vMerge w:val="continue"/>
                  <w:tcBorders>
                    <w:left w:val="single" w:color="auto" w:sz="4" w:space="0"/>
                    <w:right w:val="single" w:color="auto" w:sz="4" w:space="0"/>
                  </w:tcBorders>
                  <w:vAlign w:val="center"/>
                </w:tcPr>
                <w:p w14:paraId="4FD36543">
                  <w:pPr>
                    <w:rPr>
                      <w:rFonts w:ascii="宋体"/>
                      <w:sz w:val="13"/>
                      <w:szCs w:val="13"/>
                    </w:rPr>
                  </w:pPr>
                </w:p>
              </w:tc>
              <w:tc>
                <w:tcPr>
                  <w:tcW w:w="610" w:type="dxa"/>
                  <w:vMerge w:val="continue"/>
                  <w:tcBorders>
                    <w:top w:val="nil"/>
                    <w:left w:val="single" w:color="auto" w:sz="4" w:space="0"/>
                    <w:bottom w:val="single" w:color="auto" w:sz="4" w:space="0"/>
                    <w:right w:val="single" w:color="auto" w:sz="4" w:space="0"/>
                  </w:tcBorders>
                  <w:vAlign w:val="center"/>
                </w:tcPr>
                <w:p w14:paraId="7BE09D45">
                  <w:pPr>
                    <w:rPr>
                      <w:rFonts w:ascii="宋体"/>
                      <w:sz w:val="13"/>
                      <w:szCs w:val="13"/>
                    </w:rPr>
                  </w:pPr>
                </w:p>
              </w:tc>
              <w:tc>
                <w:tcPr>
                  <w:tcW w:w="1768" w:type="dxa"/>
                  <w:tcBorders>
                    <w:top w:val="nil"/>
                    <w:left w:val="nil"/>
                    <w:bottom w:val="single" w:color="auto" w:sz="4" w:space="0"/>
                    <w:right w:val="single" w:color="auto" w:sz="4" w:space="0"/>
                  </w:tcBorders>
                  <w:vAlign w:val="center"/>
                </w:tcPr>
                <w:p w14:paraId="72FE496A">
                  <w:pPr>
                    <w:jc w:val="center"/>
                    <w:rPr>
                      <w:rFonts w:cs="宋体"/>
                      <w:sz w:val="13"/>
                      <w:szCs w:val="13"/>
                    </w:rPr>
                  </w:pPr>
                  <w:r>
                    <w:rPr>
                      <w:rFonts w:hint="eastAsia" w:cs="宋体"/>
                      <w:sz w:val="13"/>
                      <w:szCs w:val="13"/>
                    </w:rPr>
                    <w:t>水平等效刚度变化率</w:t>
                  </w:r>
                </w:p>
                <w:p w14:paraId="20535056">
                  <w:pPr>
                    <w:jc w:val="center"/>
                    <w:rPr>
                      <w:rFonts w:cs="宋体"/>
                      <w:sz w:val="13"/>
                      <w:szCs w:val="13"/>
                    </w:rPr>
                  </w:pPr>
                  <w:r>
                    <w:rPr>
                      <w:rFonts w:hint="eastAsia" w:cs="宋体"/>
                      <w:sz w:val="13"/>
                      <w:szCs w:val="13"/>
                      <w:u w:val="single"/>
                    </w:rPr>
                    <w:t>（LRB、HDR）</w:t>
                  </w:r>
                </w:p>
              </w:tc>
              <w:tc>
                <w:tcPr>
                  <w:tcW w:w="1854" w:type="dxa"/>
                  <w:vMerge w:val="continue"/>
                  <w:tcBorders>
                    <w:top w:val="nil"/>
                    <w:left w:val="single" w:color="auto" w:sz="4" w:space="0"/>
                    <w:bottom w:val="single" w:color="auto" w:sz="4" w:space="0"/>
                    <w:right w:val="single" w:color="auto" w:sz="4" w:space="0"/>
                  </w:tcBorders>
                  <w:vAlign w:val="center"/>
                </w:tcPr>
                <w:p w14:paraId="373DAB37">
                  <w:pPr>
                    <w:rPr>
                      <w:rFonts w:ascii="宋体"/>
                      <w:sz w:val="13"/>
                      <w:szCs w:val="13"/>
                    </w:rPr>
                  </w:pPr>
                </w:p>
              </w:tc>
            </w:tr>
            <w:tr w14:paraId="541E29E3">
              <w:tblPrEx>
                <w:tblCellMar>
                  <w:top w:w="0" w:type="dxa"/>
                  <w:left w:w="0" w:type="dxa"/>
                  <w:bottom w:w="0" w:type="dxa"/>
                  <w:right w:w="0" w:type="dxa"/>
                </w:tblCellMar>
              </w:tblPrEx>
              <w:trPr>
                <w:trHeight w:val="285" w:hRule="atLeast"/>
                <w:jc w:val="center"/>
              </w:trPr>
              <w:tc>
                <w:tcPr>
                  <w:tcW w:w="614" w:type="dxa"/>
                  <w:vMerge w:val="continue"/>
                  <w:tcBorders>
                    <w:left w:val="single" w:color="auto" w:sz="4" w:space="0"/>
                    <w:right w:val="single" w:color="auto" w:sz="4" w:space="0"/>
                  </w:tcBorders>
                  <w:vAlign w:val="center"/>
                </w:tcPr>
                <w:p w14:paraId="0D1B1CC9">
                  <w:pPr>
                    <w:rPr>
                      <w:rFonts w:ascii="宋体"/>
                      <w:sz w:val="13"/>
                      <w:szCs w:val="13"/>
                    </w:rPr>
                  </w:pPr>
                </w:p>
              </w:tc>
              <w:tc>
                <w:tcPr>
                  <w:tcW w:w="610" w:type="dxa"/>
                  <w:vMerge w:val="continue"/>
                  <w:tcBorders>
                    <w:top w:val="nil"/>
                    <w:left w:val="single" w:color="auto" w:sz="4" w:space="0"/>
                    <w:bottom w:val="single" w:color="auto" w:sz="4" w:space="0"/>
                    <w:right w:val="single" w:color="auto" w:sz="4" w:space="0"/>
                  </w:tcBorders>
                  <w:vAlign w:val="center"/>
                </w:tcPr>
                <w:p w14:paraId="642C095C">
                  <w:pPr>
                    <w:rPr>
                      <w:rFonts w:ascii="宋体"/>
                      <w:sz w:val="13"/>
                      <w:szCs w:val="13"/>
                    </w:rPr>
                  </w:pPr>
                </w:p>
              </w:tc>
              <w:tc>
                <w:tcPr>
                  <w:tcW w:w="1768" w:type="dxa"/>
                  <w:tcBorders>
                    <w:top w:val="nil"/>
                    <w:left w:val="nil"/>
                    <w:bottom w:val="single" w:color="auto" w:sz="4" w:space="0"/>
                    <w:right w:val="single" w:color="auto" w:sz="4" w:space="0"/>
                  </w:tcBorders>
                  <w:vAlign w:val="center"/>
                </w:tcPr>
                <w:p w14:paraId="086FED0F">
                  <w:pPr>
                    <w:jc w:val="center"/>
                    <w:rPr>
                      <w:rFonts w:cs="宋体"/>
                      <w:sz w:val="13"/>
                      <w:szCs w:val="13"/>
                    </w:rPr>
                  </w:pPr>
                  <w:r>
                    <w:rPr>
                      <w:rFonts w:hint="eastAsia" w:cs="宋体"/>
                      <w:sz w:val="13"/>
                      <w:szCs w:val="13"/>
                    </w:rPr>
                    <w:t>等效阻尼比变化率</w:t>
                  </w:r>
                </w:p>
                <w:p w14:paraId="48E61BBC">
                  <w:pPr>
                    <w:jc w:val="center"/>
                    <w:rPr>
                      <w:rFonts w:ascii="宋体"/>
                      <w:sz w:val="13"/>
                      <w:szCs w:val="13"/>
                    </w:rPr>
                  </w:pPr>
                  <w:r>
                    <w:rPr>
                      <w:rFonts w:hint="eastAsia" w:cs="宋体"/>
                      <w:sz w:val="13"/>
                      <w:szCs w:val="13"/>
                    </w:rPr>
                    <w:t>（LRB</w:t>
                  </w:r>
                  <w:r>
                    <w:rPr>
                      <w:rFonts w:cs="宋体"/>
                      <w:sz w:val="13"/>
                      <w:szCs w:val="13"/>
                    </w:rPr>
                    <w:t>、HDR</w:t>
                  </w:r>
                  <w:r>
                    <w:rPr>
                      <w:rFonts w:hint="eastAsia" w:cs="宋体"/>
                      <w:sz w:val="13"/>
                      <w:szCs w:val="13"/>
                    </w:rPr>
                    <w:t>）</w:t>
                  </w:r>
                </w:p>
              </w:tc>
              <w:tc>
                <w:tcPr>
                  <w:tcW w:w="1854" w:type="dxa"/>
                  <w:vMerge w:val="continue"/>
                  <w:tcBorders>
                    <w:top w:val="nil"/>
                    <w:left w:val="single" w:color="auto" w:sz="4" w:space="0"/>
                    <w:bottom w:val="single" w:color="auto" w:sz="4" w:space="0"/>
                    <w:right w:val="single" w:color="auto" w:sz="4" w:space="0"/>
                  </w:tcBorders>
                  <w:vAlign w:val="center"/>
                </w:tcPr>
                <w:p w14:paraId="3EC2D97B">
                  <w:pPr>
                    <w:rPr>
                      <w:rFonts w:ascii="宋体"/>
                      <w:sz w:val="13"/>
                      <w:szCs w:val="13"/>
                    </w:rPr>
                  </w:pPr>
                </w:p>
              </w:tc>
            </w:tr>
            <w:tr w14:paraId="1BE8D1A0">
              <w:tblPrEx>
                <w:tblCellMar>
                  <w:top w:w="0" w:type="dxa"/>
                  <w:left w:w="0" w:type="dxa"/>
                  <w:bottom w:w="0" w:type="dxa"/>
                  <w:right w:w="0" w:type="dxa"/>
                </w:tblCellMar>
              </w:tblPrEx>
              <w:trPr>
                <w:trHeight w:val="285" w:hRule="atLeast"/>
                <w:jc w:val="center"/>
              </w:trPr>
              <w:tc>
                <w:tcPr>
                  <w:tcW w:w="614" w:type="dxa"/>
                  <w:vMerge w:val="continue"/>
                  <w:tcBorders>
                    <w:left w:val="single" w:color="auto" w:sz="4" w:space="0"/>
                    <w:bottom w:val="single" w:color="auto" w:sz="4" w:space="0"/>
                    <w:right w:val="single" w:color="auto" w:sz="4" w:space="0"/>
                  </w:tcBorders>
                  <w:vAlign w:val="center"/>
                </w:tcPr>
                <w:p w14:paraId="2439BA04">
                  <w:pPr>
                    <w:rPr>
                      <w:rFonts w:ascii="宋体"/>
                      <w:sz w:val="13"/>
                      <w:szCs w:val="13"/>
                    </w:rPr>
                  </w:pPr>
                </w:p>
              </w:tc>
              <w:tc>
                <w:tcPr>
                  <w:tcW w:w="610" w:type="dxa"/>
                  <w:vMerge w:val="continue"/>
                  <w:tcBorders>
                    <w:top w:val="nil"/>
                    <w:left w:val="single" w:color="auto" w:sz="4" w:space="0"/>
                    <w:bottom w:val="single" w:color="auto" w:sz="4" w:space="0"/>
                    <w:right w:val="single" w:color="auto" w:sz="4" w:space="0"/>
                  </w:tcBorders>
                  <w:vAlign w:val="center"/>
                </w:tcPr>
                <w:p w14:paraId="55A1E90B">
                  <w:pPr>
                    <w:rPr>
                      <w:rFonts w:ascii="宋体"/>
                      <w:sz w:val="13"/>
                      <w:szCs w:val="13"/>
                    </w:rPr>
                  </w:pPr>
                </w:p>
              </w:tc>
              <w:tc>
                <w:tcPr>
                  <w:tcW w:w="1768" w:type="dxa"/>
                  <w:tcBorders>
                    <w:top w:val="nil"/>
                    <w:left w:val="nil"/>
                    <w:bottom w:val="single" w:color="auto" w:sz="4" w:space="0"/>
                    <w:right w:val="single" w:color="auto" w:sz="4" w:space="0"/>
                  </w:tcBorders>
                  <w:vAlign w:val="center"/>
                </w:tcPr>
                <w:p w14:paraId="3F7630AD">
                  <w:pPr>
                    <w:jc w:val="center"/>
                    <w:rPr>
                      <w:rFonts w:ascii="宋体"/>
                      <w:sz w:val="13"/>
                      <w:szCs w:val="13"/>
                    </w:rPr>
                  </w:pPr>
                  <w:r>
                    <w:rPr>
                      <w:rFonts w:hint="eastAsia" w:cs="宋体"/>
                      <w:sz w:val="13"/>
                      <w:szCs w:val="13"/>
                    </w:rPr>
                    <w:t>支座外观</w:t>
                  </w:r>
                </w:p>
              </w:tc>
              <w:tc>
                <w:tcPr>
                  <w:tcW w:w="1854" w:type="dxa"/>
                  <w:tcBorders>
                    <w:top w:val="nil"/>
                    <w:left w:val="nil"/>
                    <w:bottom w:val="single" w:color="auto" w:sz="4" w:space="0"/>
                    <w:right w:val="single" w:color="auto" w:sz="4" w:space="0"/>
                  </w:tcBorders>
                  <w:vAlign w:val="center"/>
                </w:tcPr>
                <w:p w14:paraId="343622FB">
                  <w:pPr>
                    <w:jc w:val="center"/>
                    <w:rPr>
                      <w:rFonts w:ascii="宋体"/>
                      <w:sz w:val="13"/>
                      <w:szCs w:val="13"/>
                    </w:rPr>
                  </w:pPr>
                  <w:r>
                    <w:rPr>
                      <w:rFonts w:hint="eastAsia" w:cs="宋体"/>
                      <w:sz w:val="13"/>
                      <w:szCs w:val="13"/>
                      <w:bdr w:val="single" w:color="auto" w:sz="4" w:space="0"/>
                    </w:rPr>
                    <w:t>目视</w:t>
                  </w:r>
                  <w:r>
                    <w:rPr>
                      <w:rFonts w:hint="eastAsia" w:cs="宋体"/>
                      <w:sz w:val="13"/>
                      <w:szCs w:val="13"/>
                    </w:rPr>
                    <w:t>无龟裂</w:t>
                  </w:r>
                  <w:r>
                    <w:rPr>
                      <w:rFonts w:hint="eastAsia" w:cs="宋体"/>
                      <w:sz w:val="13"/>
                      <w:szCs w:val="13"/>
                      <w:u w:val="single"/>
                    </w:rPr>
                    <w:t>，钢板与橡胶无撕裂或出现其他异常现象</w:t>
                  </w:r>
                </w:p>
              </w:tc>
            </w:tr>
            <w:tr w14:paraId="259F67B6">
              <w:tblPrEx>
                <w:tblCellMar>
                  <w:top w:w="0" w:type="dxa"/>
                  <w:left w:w="0" w:type="dxa"/>
                  <w:bottom w:w="0" w:type="dxa"/>
                  <w:right w:w="0" w:type="dxa"/>
                </w:tblCellMar>
              </w:tblPrEx>
              <w:trPr>
                <w:trHeight w:val="285" w:hRule="atLeast"/>
                <w:jc w:val="center"/>
              </w:trPr>
              <w:tc>
                <w:tcPr>
                  <w:tcW w:w="4846" w:type="dxa"/>
                  <w:gridSpan w:val="4"/>
                  <w:tcBorders>
                    <w:top w:val="single" w:color="auto" w:sz="4" w:space="0"/>
                    <w:left w:val="single" w:color="auto" w:sz="4" w:space="0"/>
                    <w:bottom w:val="single" w:color="auto" w:sz="4" w:space="0"/>
                    <w:right w:val="single" w:color="auto" w:sz="4" w:space="0"/>
                  </w:tcBorders>
                  <w:vAlign w:val="center"/>
                </w:tcPr>
                <w:p w14:paraId="4DBEA3D1">
                  <w:pPr>
                    <w:jc w:val="center"/>
                    <w:rPr>
                      <w:sz w:val="13"/>
                      <w:szCs w:val="13"/>
                    </w:rPr>
                  </w:pPr>
                  <w:r>
                    <w:rPr>
                      <w:rFonts w:hint="eastAsia"/>
                      <w:sz w:val="13"/>
                      <w:szCs w:val="13"/>
                    </w:rPr>
                    <w:t>注</w:t>
                  </w:r>
                  <w:r>
                    <w:rPr>
                      <w:sz w:val="13"/>
                      <w:szCs w:val="13"/>
                    </w:rPr>
                    <w:t>：表中未</w:t>
                  </w:r>
                  <w:r>
                    <w:rPr>
                      <w:rFonts w:hint="eastAsia"/>
                      <w:sz w:val="13"/>
                      <w:szCs w:val="13"/>
                    </w:rPr>
                    <w:t>特别注明的</w:t>
                  </w:r>
                  <w:r>
                    <w:rPr>
                      <w:sz w:val="13"/>
                      <w:szCs w:val="13"/>
                    </w:rPr>
                    <w:t>性能要求适用于天然橡胶支座、铅芯橡胶支座和高阻尼</w:t>
                  </w:r>
                  <w:r>
                    <w:rPr>
                      <w:rFonts w:hint="eastAsia"/>
                      <w:sz w:val="13"/>
                      <w:szCs w:val="13"/>
                    </w:rPr>
                    <w:t>橡胶</w:t>
                  </w:r>
                  <w:r>
                    <w:rPr>
                      <w:sz w:val="13"/>
                      <w:szCs w:val="13"/>
                    </w:rPr>
                    <w:t>支座</w:t>
                  </w:r>
                  <w:r>
                    <w:rPr>
                      <w:rFonts w:hint="eastAsia"/>
                      <w:sz w:val="13"/>
                      <w:szCs w:val="13"/>
                    </w:rPr>
                    <w:t>。</w:t>
                  </w:r>
                </w:p>
              </w:tc>
            </w:tr>
          </w:tbl>
          <w:p w14:paraId="6F5A8256">
            <w:pPr>
              <w:pStyle w:val="72"/>
              <w:ind w:firstLine="0" w:firstLineChars="0"/>
              <w:jc w:val="center"/>
              <w:rPr>
                <w:rFonts w:hint="eastAsia" w:ascii="黑体" w:hAnsi="黑体" w:eastAsia="黑体"/>
              </w:rPr>
            </w:pPr>
          </w:p>
        </w:tc>
      </w:tr>
      <w:tr w14:paraId="2727A8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tcPr>
          <w:p w14:paraId="08ABF6E4">
            <w:pPr>
              <w:pStyle w:val="74"/>
              <w:numPr>
                <w:ilvl w:val="3"/>
                <w:numId w:val="0"/>
              </w:numPr>
              <w:jc w:val="both"/>
              <w:rPr>
                <w:rFonts w:hint="eastAsia" w:asciiTheme="majorEastAsia" w:hAnsiTheme="majorEastAsia" w:eastAsiaTheme="majorEastAsia"/>
              </w:rPr>
            </w:pPr>
            <w:r>
              <w:rPr>
                <w:rFonts w:hint="eastAsia" w:asciiTheme="majorEastAsia" w:hAnsiTheme="majorEastAsia" w:eastAsiaTheme="majorEastAsia"/>
              </w:rPr>
              <w:t>6.6.1 天然橡胶支座和铅芯橡胶支座相关性能要求应符合表</w:t>
            </w:r>
            <w:r>
              <w:rPr>
                <w:rFonts w:asciiTheme="majorEastAsia" w:hAnsiTheme="majorEastAsia" w:eastAsiaTheme="majorEastAsia"/>
              </w:rPr>
              <w:t>7</w:t>
            </w:r>
            <w:r>
              <w:rPr>
                <w:rFonts w:hint="eastAsia" w:asciiTheme="majorEastAsia" w:hAnsiTheme="majorEastAsia" w:eastAsiaTheme="majorEastAsia"/>
              </w:rPr>
              <w:t>的规定。</w:t>
            </w:r>
          </w:p>
          <w:p w14:paraId="482B3303">
            <w:pPr>
              <w:pStyle w:val="72"/>
              <w:ind w:firstLine="0" w:firstLineChars="0"/>
              <w:rPr>
                <w:rFonts w:hint="eastAsia" w:ascii="黑体" w:hAnsi="黑体" w:eastAsia="黑体"/>
              </w:rPr>
            </w:pPr>
            <w:r>
              <w:rPr>
                <w:rFonts w:hint="eastAsia" w:ascii="黑体" w:hAnsi="黑体" w:eastAsia="黑体"/>
              </w:rPr>
              <w:t>表</w:t>
            </w:r>
            <w:r>
              <w:rPr>
                <w:rFonts w:ascii="黑体" w:hAnsi="黑体" w:eastAsia="黑体"/>
              </w:rPr>
              <w:t xml:space="preserve">7 </w:t>
            </w:r>
            <w:r>
              <w:rPr>
                <w:rFonts w:hint="eastAsia" w:ascii="黑体" w:hAnsi="黑体" w:eastAsia="黑体"/>
              </w:rPr>
              <w:t>天然橡胶支座和铅芯橡胶支座相关性</w:t>
            </w:r>
            <w:r>
              <w:rPr>
                <w:rFonts w:hint="eastAsia" w:ascii="黑体" w:hAnsi="黑体" w:eastAsia="黑体" w:cs="黑体"/>
              </w:rPr>
              <w:t>能</w:t>
            </w:r>
            <w:r>
              <w:rPr>
                <w:rFonts w:hint="eastAsia" w:ascii="黑体" w:hAnsi="黑体" w:eastAsia="黑体"/>
              </w:rPr>
              <w:t>要求</w:t>
            </w:r>
          </w:p>
          <w:p w14:paraId="3C50DE0B">
            <w:pPr>
              <w:pStyle w:val="72"/>
              <w:ind w:firstLine="0" w:firstLineChars="0"/>
              <w:rPr>
                <w:rFonts w:hint="eastAsia" w:ascii="黑体" w:hAnsi="黑体" w:eastAsia="黑体"/>
              </w:rPr>
            </w:pPr>
            <w:r>
              <w:drawing>
                <wp:inline distT="0" distB="0" distL="114300" distR="114300">
                  <wp:extent cx="3101340" cy="998855"/>
                  <wp:effectExtent l="0" t="0" r="3810" b="10795"/>
                  <wp:docPr id="4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6"/>
                          <pic:cNvPicPr>
                            <a:picLocks noChangeAspect="1"/>
                          </pic:cNvPicPr>
                        </pic:nvPicPr>
                        <pic:blipFill>
                          <a:blip r:embed="rId24"/>
                          <a:stretch>
                            <a:fillRect/>
                          </a:stretch>
                        </pic:blipFill>
                        <pic:spPr>
                          <a:xfrm>
                            <a:off x="0" y="0"/>
                            <a:ext cx="3101340" cy="998855"/>
                          </a:xfrm>
                          <a:prstGeom prst="rect">
                            <a:avLst/>
                          </a:prstGeom>
                          <a:noFill/>
                          <a:ln>
                            <a:noFill/>
                          </a:ln>
                        </pic:spPr>
                      </pic:pic>
                    </a:graphicData>
                  </a:graphic>
                </wp:inline>
              </w:drawing>
            </w:r>
          </w:p>
        </w:tc>
        <w:tc>
          <w:tcPr>
            <w:tcW w:w="5126" w:type="dxa"/>
          </w:tcPr>
          <w:p w14:paraId="056331AD">
            <w:pPr>
              <w:pStyle w:val="74"/>
              <w:numPr>
                <w:ilvl w:val="3"/>
                <w:numId w:val="0"/>
              </w:numPr>
              <w:rPr>
                <w:rFonts w:hint="eastAsia" w:asciiTheme="majorEastAsia" w:hAnsiTheme="majorEastAsia" w:eastAsiaTheme="majorEastAsia"/>
              </w:rPr>
            </w:pPr>
            <w:r>
              <w:rPr>
                <w:rFonts w:hint="eastAsia" w:asciiTheme="majorEastAsia" w:hAnsiTheme="majorEastAsia" w:eastAsiaTheme="majorEastAsia"/>
              </w:rPr>
              <w:t>6.6.1 天然橡胶支座和铅芯橡胶支座相关性能要求应符合表</w:t>
            </w:r>
            <w:r>
              <w:rPr>
                <w:rFonts w:asciiTheme="majorEastAsia" w:hAnsiTheme="majorEastAsia" w:eastAsiaTheme="majorEastAsia"/>
                <w:bdr w:val="single" w:color="auto" w:sz="4" w:space="0"/>
              </w:rPr>
              <w:t>7</w:t>
            </w:r>
            <w:r>
              <w:rPr>
                <w:rFonts w:hint="eastAsia" w:asciiTheme="majorEastAsia" w:hAnsiTheme="majorEastAsia" w:eastAsiaTheme="majorEastAsia"/>
                <w:u w:val="single"/>
              </w:rPr>
              <w:t>8</w:t>
            </w:r>
            <w:r>
              <w:rPr>
                <w:rFonts w:hint="eastAsia" w:asciiTheme="majorEastAsia" w:hAnsiTheme="majorEastAsia" w:eastAsiaTheme="majorEastAsia"/>
              </w:rPr>
              <w:t>的规定。</w:t>
            </w:r>
          </w:p>
          <w:p w14:paraId="49757FFB">
            <w:pPr>
              <w:pStyle w:val="72"/>
              <w:ind w:firstLine="0" w:firstLineChars="0"/>
              <w:jc w:val="center"/>
              <w:rPr>
                <w:rFonts w:hint="eastAsia" w:ascii="黑体" w:hAnsi="黑体" w:eastAsia="黑体"/>
              </w:rPr>
            </w:pPr>
            <w:r>
              <w:rPr>
                <w:rFonts w:hint="eastAsia" w:ascii="黑体" w:hAnsi="黑体" w:eastAsia="黑体"/>
              </w:rPr>
              <w:t>表</w:t>
            </w:r>
            <w:r>
              <w:rPr>
                <w:rFonts w:ascii="黑体" w:hAnsi="黑体" w:eastAsia="黑体"/>
                <w:bdr w:val="single" w:color="auto" w:sz="4" w:space="0"/>
              </w:rPr>
              <w:t>7</w:t>
            </w:r>
            <w:r>
              <w:rPr>
                <w:rFonts w:hint="eastAsia" w:ascii="黑体" w:hAnsi="黑体" w:eastAsia="黑体"/>
                <w:u w:val="single"/>
              </w:rPr>
              <w:t>8</w:t>
            </w:r>
            <w:r>
              <w:rPr>
                <w:rFonts w:hint="eastAsia" w:ascii="黑体" w:hAnsi="黑体" w:eastAsia="黑体"/>
              </w:rPr>
              <w:t xml:space="preserve"> 天然橡胶支座和铅芯橡胶支座相关性</w:t>
            </w:r>
            <w:r>
              <w:rPr>
                <w:rFonts w:hint="eastAsia" w:ascii="黑体" w:hAnsi="黑体" w:eastAsia="黑体" w:cs="黑体"/>
              </w:rPr>
              <w:t>能</w:t>
            </w:r>
            <w:r>
              <w:rPr>
                <w:rFonts w:hint="eastAsia" w:ascii="黑体" w:hAnsi="黑体" w:eastAsia="黑体"/>
              </w:rPr>
              <w:t>要求</w:t>
            </w:r>
          </w:p>
          <w:p w14:paraId="3BBB9A9F">
            <w:pPr>
              <w:pStyle w:val="72"/>
              <w:ind w:firstLine="0" w:firstLineChars="0"/>
              <w:jc w:val="center"/>
              <w:rPr>
                <w:rFonts w:hint="eastAsia" w:ascii="黑体" w:hAnsi="黑体" w:eastAsia="黑体"/>
              </w:rPr>
            </w:pPr>
            <w:r>
              <w:drawing>
                <wp:inline distT="0" distB="0" distL="114300" distR="114300">
                  <wp:extent cx="3115945" cy="1188085"/>
                  <wp:effectExtent l="0" t="0" r="8255" b="12065"/>
                  <wp:docPr id="4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4"/>
                          <pic:cNvPicPr>
                            <a:picLocks noChangeAspect="1"/>
                          </pic:cNvPicPr>
                        </pic:nvPicPr>
                        <pic:blipFill>
                          <a:blip r:embed="rId25"/>
                          <a:stretch>
                            <a:fillRect/>
                          </a:stretch>
                        </pic:blipFill>
                        <pic:spPr>
                          <a:xfrm>
                            <a:off x="0" y="0"/>
                            <a:ext cx="3115945" cy="1188085"/>
                          </a:xfrm>
                          <a:prstGeom prst="rect">
                            <a:avLst/>
                          </a:prstGeom>
                          <a:noFill/>
                          <a:ln>
                            <a:noFill/>
                          </a:ln>
                        </pic:spPr>
                      </pic:pic>
                    </a:graphicData>
                  </a:graphic>
                </wp:inline>
              </w:drawing>
            </w:r>
          </w:p>
        </w:tc>
      </w:tr>
      <w:tr w14:paraId="51F8E0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tcPr>
          <w:p w14:paraId="378438B6">
            <w:pPr>
              <w:pStyle w:val="74"/>
              <w:numPr>
                <w:ilvl w:val="3"/>
                <w:numId w:val="0"/>
              </w:numPr>
              <w:jc w:val="both"/>
              <w:rPr>
                <w:rFonts w:hint="eastAsia" w:asciiTheme="majorEastAsia" w:hAnsiTheme="majorEastAsia" w:eastAsiaTheme="majorEastAsia"/>
              </w:rPr>
            </w:pPr>
            <w:r>
              <w:rPr>
                <w:rFonts w:hint="eastAsia" w:asciiTheme="majorEastAsia" w:hAnsiTheme="majorEastAsia" w:eastAsiaTheme="majorEastAsia"/>
              </w:rPr>
              <w:t>6.2.2 高阻尼橡胶支座相关性能要求应符合表</w:t>
            </w:r>
            <w:r>
              <w:rPr>
                <w:rFonts w:asciiTheme="majorEastAsia" w:hAnsiTheme="majorEastAsia" w:eastAsiaTheme="majorEastAsia"/>
              </w:rPr>
              <w:t>8</w:t>
            </w:r>
            <w:r>
              <w:rPr>
                <w:rFonts w:hint="eastAsia" w:asciiTheme="majorEastAsia" w:hAnsiTheme="majorEastAsia" w:eastAsiaTheme="majorEastAsia"/>
              </w:rPr>
              <w:t>的规定。</w:t>
            </w:r>
          </w:p>
          <w:p w14:paraId="66806F56">
            <w:pPr>
              <w:rPr>
                <w:rFonts w:hint="eastAsia" w:ascii="黑体" w:hAnsi="黑体" w:eastAsia="黑体"/>
              </w:rPr>
            </w:pPr>
            <w:r>
              <w:rPr>
                <w:rFonts w:hint="eastAsia" w:ascii="黑体" w:hAnsi="黑体" w:eastAsia="黑体"/>
              </w:rPr>
              <w:t>表</w:t>
            </w:r>
            <w:r>
              <w:rPr>
                <w:rFonts w:ascii="黑体" w:hAnsi="黑体" w:eastAsia="黑体"/>
              </w:rPr>
              <w:t xml:space="preserve">8 </w:t>
            </w:r>
            <w:r>
              <w:rPr>
                <w:rFonts w:hint="eastAsia" w:ascii="黑体" w:hAnsi="黑体" w:eastAsia="黑体"/>
              </w:rPr>
              <w:t>高阻尼橡胶支座相关性</w:t>
            </w:r>
            <w:r>
              <w:rPr>
                <w:rFonts w:hint="eastAsia" w:ascii="黑体" w:hAnsi="黑体" w:eastAsia="黑体" w:cs="黑体"/>
              </w:rPr>
              <w:t>能</w:t>
            </w:r>
            <w:r>
              <w:rPr>
                <w:rFonts w:hint="eastAsia" w:ascii="黑体" w:hAnsi="黑体" w:eastAsia="黑体"/>
              </w:rPr>
              <w:t>要求</w:t>
            </w:r>
          </w:p>
          <w:p w14:paraId="683C328C">
            <w:pPr>
              <w:pStyle w:val="72"/>
              <w:ind w:firstLine="0" w:firstLineChars="0"/>
            </w:pPr>
            <w:r>
              <w:drawing>
                <wp:inline distT="0" distB="0" distL="114300" distR="114300">
                  <wp:extent cx="3101340" cy="1028700"/>
                  <wp:effectExtent l="0" t="0" r="3810" b="0"/>
                  <wp:docPr id="4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7"/>
                          <pic:cNvPicPr>
                            <a:picLocks noChangeAspect="1"/>
                          </pic:cNvPicPr>
                        </pic:nvPicPr>
                        <pic:blipFill>
                          <a:blip r:embed="rId26"/>
                          <a:stretch>
                            <a:fillRect/>
                          </a:stretch>
                        </pic:blipFill>
                        <pic:spPr>
                          <a:xfrm>
                            <a:off x="0" y="0"/>
                            <a:ext cx="3101340" cy="1028700"/>
                          </a:xfrm>
                          <a:prstGeom prst="rect">
                            <a:avLst/>
                          </a:prstGeom>
                          <a:noFill/>
                          <a:ln>
                            <a:noFill/>
                          </a:ln>
                        </pic:spPr>
                      </pic:pic>
                    </a:graphicData>
                  </a:graphic>
                </wp:inline>
              </w:drawing>
            </w:r>
          </w:p>
        </w:tc>
        <w:tc>
          <w:tcPr>
            <w:tcW w:w="5126" w:type="dxa"/>
          </w:tcPr>
          <w:p w14:paraId="686C0BCF">
            <w:pPr>
              <w:pStyle w:val="74"/>
              <w:numPr>
                <w:ilvl w:val="3"/>
                <w:numId w:val="0"/>
              </w:numPr>
              <w:rPr>
                <w:rFonts w:hint="eastAsia" w:asciiTheme="majorEastAsia" w:hAnsiTheme="majorEastAsia" w:eastAsiaTheme="majorEastAsia"/>
              </w:rPr>
            </w:pPr>
            <w:r>
              <w:rPr>
                <w:rFonts w:hint="eastAsia" w:asciiTheme="majorEastAsia" w:hAnsiTheme="majorEastAsia" w:eastAsiaTheme="majorEastAsia"/>
              </w:rPr>
              <w:t>6.2.2 高阻尼橡胶支座相关性能要求应符合表</w:t>
            </w:r>
            <w:r>
              <w:rPr>
                <w:rFonts w:asciiTheme="majorEastAsia" w:hAnsiTheme="majorEastAsia" w:eastAsiaTheme="majorEastAsia"/>
                <w:bdr w:val="single" w:color="auto" w:sz="4" w:space="0"/>
              </w:rPr>
              <w:t>8</w:t>
            </w:r>
            <w:r>
              <w:rPr>
                <w:rFonts w:hint="eastAsia" w:asciiTheme="majorEastAsia" w:hAnsiTheme="majorEastAsia" w:eastAsiaTheme="majorEastAsia"/>
              </w:rPr>
              <w:t>9的规定。</w:t>
            </w:r>
          </w:p>
          <w:p w14:paraId="140DF412">
            <w:pPr>
              <w:jc w:val="center"/>
              <w:rPr>
                <w:rFonts w:hint="eastAsia" w:ascii="黑体" w:hAnsi="黑体" w:eastAsia="黑体"/>
              </w:rPr>
            </w:pPr>
            <w:r>
              <w:rPr>
                <w:rFonts w:hint="eastAsia" w:ascii="黑体" w:hAnsi="黑体" w:eastAsia="黑体"/>
              </w:rPr>
              <w:t>表</w:t>
            </w:r>
            <w:r>
              <w:rPr>
                <w:rFonts w:ascii="黑体" w:hAnsi="黑体" w:eastAsia="黑体"/>
                <w:bdr w:val="single" w:color="auto" w:sz="2" w:space="0"/>
              </w:rPr>
              <w:t>8</w:t>
            </w:r>
            <w:r>
              <w:rPr>
                <w:rFonts w:hint="eastAsia" w:ascii="黑体" w:hAnsi="黑体" w:eastAsia="黑体"/>
                <w:u w:val="single"/>
              </w:rPr>
              <w:t>9</w:t>
            </w:r>
            <w:r>
              <w:rPr>
                <w:rFonts w:ascii="黑体" w:hAnsi="黑体" w:eastAsia="黑体"/>
              </w:rPr>
              <w:t xml:space="preserve"> </w:t>
            </w:r>
            <w:r>
              <w:rPr>
                <w:rFonts w:hint="eastAsia" w:ascii="黑体" w:hAnsi="黑体" w:eastAsia="黑体"/>
              </w:rPr>
              <w:t>高阻尼橡胶支座相关性</w:t>
            </w:r>
            <w:r>
              <w:rPr>
                <w:rFonts w:hint="eastAsia" w:ascii="黑体" w:hAnsi="黑体" w:eastAsia="黑体" w:cs="黑体"/>
              </w:rPr>
              <w:t>能</w:t>
            </w:r>
            <w:r>
              <w:rPr>
                <w:rFonts w:hint="eastAsia" w:ascii="黑体" w:hAnsi="黑体" w:eastAsia="黑体"/>
              </w:rPr>
              <w:t>要求</w:t>
            </w:r>
          </w:p>
          <w:p w14:paraId="76591148">
            <w:pPr>
              <w:pStyle w:val="72"/>
              <w:ind w:firstLine="0" w:firstLineChars="0"/>
              <w:jc w:val="center"/>
            </w:pPr>
            <w:r>
              <w:drawing>
                <wp:inline distT="0" distB="0" distL="114300" distR="114300">
                  <wp:extent cx="3117215" cy="1386840"/>
                  <wp:effectExtent l="0" t="0" r="6985" b="3810"/>
                  <wp:docPr id="4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8"/>
                          <pic:cNvPicPr>
                            <a:picLocks noChangeAspect="1"/>
                          </pic:cNvPicPr>
                        </pic:nvPicPr>
                        <pic:blipFill>
                          <a:blip r:embed="rId27"/>
                          <a:stretch>
                            <a:fillRect/>
                          </a:stretch>
                        </pic:blipFill>
                        <pic:spPr>
                          <a:xfrm>
                            <a:off x="0" y="0"/>
                            <a:ext cx="3117215" cy="1386840"/>
                          </a:xfrm>
                          <a:prstGeom prst="rect">
                            <a:avLst/>
                          </a:prstGeom>
                          <a:noFill/>
                          <a:ln>
                            <a:noFill/>
                          </a:ln>
                        </pic:spPr>
                      </pic:pic>
                    </a:graphicData>
                  </a:graphic>
                </wp:inline>
              </w:drawing>
            </w:r>
          </w:p>
        </w:tc>
      </w:tr>
      <w:tr w14:paraId="25C51C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53CC7D7C">
            <w:pPr>
              <w:pStyle w:val="72"/>
              <w:ind w:firstLine="0" w:firstLineChars="0"/>
              <w:jc w:val="center"/>
            </w:pPr>
            <w:r>
              <w:rPr>
                <w:rFonts w:hint="eastAsia" w:ascii="Times New Roman" w:eastAsia="黑体" w:cs="Times New Roman"/>
                <w:b/>
                <w:sz w:val="24"/>
                <w:szCs w:val="28"/>
              </w:rPr>
              <w:t>7 试验方法</w:t>
            </w:r>
          </w:p>
        </w:tc>
        <w:tc>
          <w:tcPr>
            <w:tcW w:w="5126" w:type="dxa"/>
            <w:vAlign w:val="center"/>
          </w:tcPr>
          <w:p w14:paraId="66F6D137">
            <w:pPr>
              <w:pStyle w:val="72"/>
              <w:ind w:firstLine="0" w:firstLineChars="0"/>
              <w:jc w:val="center"/>
            </w:pPr>
            <w:r>
              <w:rPr>
                <w:rFonts w:hint="eastAsia" w:ascii="Times New Roman" w:eastAsia="黑体" w:cs="Times New Roman"/>
                <w:b/>
                <w:sz w:val="24"/>
                <w:szCs w:val="28"/>
              </w:rPr>
              <w:t>7 试验方法</w:t>
            </w:r>
          </w:p>
        </w:tc>
      </w:tr>
      <w:tr w14:paraId="080F2E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15E8D4D7">
            <w:pPr>
              <w:pStyle w:val="74"/>
              <w:numPr>
                <w:ilvl w:val="3"/>
                <w:numId w:val="0"/>
              </w:numPr>
              <w:rPr>
                <w:rFonts w:hint="eastAsia" w:ascii="宋体" w:hAnsi="宋体" w:eastAsia="宋体"/>
              </w:rPr>
            </w:pPr>
            <w:r>
              <w:rPr>
                <w:rFonts w:hint="eastAsia" w:ascii="宋体" w:hAnsi="宋体" w:eastAsia="宋体"/>
              </w:rPr>
              <w:t>7.1.1 天然橡胶和高阻尼橡胶的物理机械性能试验方法见表9。</w:t>
            </w:r>
          </w:p>
          <w:p w14:paraId="2039E8FD">
            <w:pPr>
              <w:pStyle w:val="72"/>
              <w:ind w:firstLine="0" w:firstLineChars="0"/>
              <w:jc w:val="center"/>
              <w:rPr>
                <w:rFonts w:hint="eastAsia" w:ascii="黑体" w:hAnsi="黑体" w:eastAsia="黑体"/>
                <w:szCs w:val="20"/>
              </w:rPr>
            </w:pPr>
            <w:r>
              <w:rPr>
                <w:rFonts w:hint="eastAsia" w:ascii="黑体" w:hAnsi="黑体" w:eastAsia="黑体"/>
                <w:szCs w:val="20"/>
              </w:rPr>
              <w:t>表9</w:t>
            </w:r>
            <w:r>
              <w:rPr>
                <w:rFonts w:ascii="黑体" w:hAnsi="黑体" w:eastAsia="黑体"/>
                <w:szCs w:val="20"/>
              </w:rPr>
              <w:t xml:space="preserve"> </w:t>
            </w:r>
            <w:r>
              <w:rPr>
                <w:rFonts w:hint="eastAsia" w:ascii="黑体" w:hAnsi="黑体" w:eastAsia="黑体"/>
                <w:szCs w:val="20"/>
              </w:rPr>
              <w:t>橡胶物理机械性能试验方法</w:t>
            </w:r>
          </w:p>
          <w:p w14:paraId="68AC042E">
            <w:pPr>
              <w:pStyle w:val="72"/>
              <w:ind w:firstLine="0" w:firstLineChars="0"/>
              <w:jc w:val="center"/>
              <w:rPr>
                <w:rFonts w:hint="eastAsia" w:ascii="黑体" w:hAnsi="黑体" w:eastAsia="黑体"/>
                <w:szCs w:val="20"/>
              </w:rPr>
            </w:pPr>
            <w:r>
              <w:drawing>
                <wp:inline distT="0" distB="0" distL="114300" distR="114300">
                  <wp:extent cx="3105150" cy="2131060"/>
                  <wp:effectExtent l="0" t="0" r="0" b="2540"/>
                  <wp:docPr id="4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9"/>
                          <pic:cNvPicPr>
                            <a:picLocks noChangeAspect="1"/>
                          </pic:cNvPicPr>
                        </pic:nvPicPr>
                        <pic:blipFill>
                          <a:blip r:embed="rId28"/>
                          <a:stretch>
                            <a:fillRect/>
                          </a:stretch>
                        </pic:blipFill>
                        <pic:spPr>
                          <a:xfrm>
                            <a:off x="0" y="0"/>
                            <a:ext cx="3105150" cy="2131060"/>
                          </a:xfrm>
                          <a:prstGeom prst="rect">
                            <a:avLst/>
                          </a:prstGeom>
                          <a:noFill/>
                          <a:ln>
                            <a:noFill/>
                          </a:ln>
                        </pic:spPr>
                      </pic:pic>
                    </a:graphicData>
                  </a:graphic>
                </wp:inline>
              </w:drawing>
            </w:r>
          </w:p>
        </w:tc>
        <w:tc>
          <w:tcPr>
            <w:tcW w:w="5126" w:type="dxa"/>
          </w:tcPr>
          <w:p w14:paraId="2A29437C">
            <w:pPr>
              <w:pStyle w:val="74"/>
              <w:numPr>
                <w:ilvl w:val="3"/>
                <w:numId w:val="0"/>
              </w:numPr>
              <w:rPr>
                <w:rFonts w:hint="eastAsia" w:ascii="宋体" w:hAnsi="宋体" w:eastAsia="宋体"/>
              </w:rPr>
            </w:pPr>
            <w:r>
              <w:rPr>
                <w:rFonts w:hint="eastAsia" w:ascii="宋体" w:hAnsi="宋体" w:eastAsia="宋体"/>
              </w:rPr>
              <w:t>7.1.1 天然橡胶和高阻尼橡胶的物理机械性能试验方法见表</w:t>
            </w:r>
            <w:r>
              <w:rPr>
                <w:rFonts w:hint="eastAsia" w:ascii="宋体" w:hAnsi="宋体" w:eastAsia="宋体"/>
                <w:bdr w:val="single" w:color="auto" w:sz="2" w:space="0"/>
              </w:rPr>
              <w:t>9</w:t>
            </w:r>
            <w:r>
              <w:rPr>
                <w:rFonts w:hint="eastAsia" w:ascii="宋体" w:hAnsi="宋体" w:eastAsia="宋体"/>
                <w:u w:val="single"/>
              </w:rPr>
              <w:t>10</w:t>
            </w:r>
            <w:r>
              <w:rPr>
                <w:rFonts w:hint="eastAsia" w:ascii="宋体" w:hAnsi="宋体" w:eastAsia="宋体"/>
              </w:rPr>
              <w:t>。</w:t>
            </w:r>
          </w:p>
          <w:p w14:paraId="0C0EBFAC">
            <w:pPr>
              <w:pStyle w:val="72"/>
              <w:ind w:firstLine="0" w:firstLineChars="0"/>
              <w:jc w:val="center"/>
              <w:rPr>
                <w:rFonts w:hint="eastAsia" w:ascii="黑体" w:hAnsi="黑体" w:eastAsia="黑体"/>
                <w:szCs w:val="20"/>
              </w:rPr>
            </w:pPr>
            <w:r>
              <w:rPr>
                <w:rFonts w:hint="eastAsia" w:ascii="黑体" w:hAnsi="黑体" w:eastAsia="黑体"/>
                <w:szCs w:val="20"/>
              </w:rPr>
              <w:t>表</w:t>
            </w:r>
            <w:r>
              <w:rPr>
                <w:rFonts w:hint="eastAsia" w:ascii="黑体" w:hAnsi="黑体" w:eastAsia="黑体"/>
                <w:szCs w:val="20"/>
                <w:bdr w:val="single" w:color="auto" w:sz="2" w:space="0"/>
              </w:rPr>
              <w:t>9</w:t>
            </w:r>
            <w:r>
              <w:rPr>
                <w:rFonts w:hint="eastAsia" w:ascii="黑体" w:hAnsi="黑体" w:eastAsia="黑体"/>
                <w:szCs w:val="20"/>
                <w:u w:val="single"/>
              </w:rPr>
              <w:t>1</w:t>
            </w:r>
            <w:r>
              <w:rPr>
                <w:rFonts w:hint="eastAsia" w:ascii="黑体" w:hAnsi="黑体" w:eastAsia="黑体"/>
                <w:szCs w:val="20"/>
              </w:rPr>
              <w:t>0</w:t>
            </w:r>
            <w:r>
              <w:rPr>
                <w:rFonts w:ascii="黑体" w:hAnsi="黑体" w:eastAsia="黑体"/>
                <w:szCs w:val="20"/>
              </w:rPr>
              <w:t xml:space="preserve"> </w:t>
            </w:r>
            <w:r>
              <w:rPr>
                <w:rFonts w:hint="eastAsia" w:ascii="黑体" w:hAnsi="黑体" w:eastAsia="黑体"/>
                <w:szCs w:val="20"/>
              </w:rPr>
              <w:t>橡胶物理机械性能试验方法</w:t>
            </w:r>
          </w:p>
          <w:p w14:paraId="2CDBD1DF">
            <w:pPr>
              <w:pStyle w:val="72"/>
              <w:ind w:firstLine="0" w:firstLineChars="0"/>
              <w:jc w:val="center"/>
              <w:rPr>
                <w:rFonts w:hint="eastAsia" w:ascii="黑体" w:hAnsi="黑体" w:eastAsia="黑体"/>
                <w:szCs w:val="20"/>
              </w:rPr>
            </w:pPr>
            <w:r>
              <w:rPr>
                <w:rFonts w:hint="eastAsia" w:ascii="黑体" w:hAnsi="黑体" w:eastAsia="黑体"/>
                <w:szCs w:val="20"/>
              </w:rPr>
              <w:drawing>
                <wp:inline distT="0" distB="0" distL="0" distR="0">
                  <wp:extent cx="3103245" cy="2133600"/>
                  <wp:effectExtent l="0" t="0" r="1905" b="0"/>
                  <wp:docPr id="142804770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047703" name="图片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103245" cy="2133600"/>
                          </a:xfrm>
                          <a:prstGeom prst="rect">
                            <a:avLst/>
                          </a:prstGeom>
                          <a:noFill/>
                        </pic:spPr>
                      </pic:pic>
                    </a:graphicData>
                  </a:graphic>
                </wp:inline>
              </w:drawing>
            </w:r>
          </w:p>
        </w:tc>
      </w:tr>
      <w:tr w14:paraId="0A7E2A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tcPr>
          <w:p w14:paraId="496B7034">
            <w:pPr>
              <w:pStyle w:val="72"/>
              <w:ind w:firstLine="0" w:firstLineChars="0"/>
            </w:pPr>
            <w:r>
              <w:rPr>
                <w:rFonts w:hint="eastAsia" w:asciiTheme="majorEastAsia" w:hAnsiTheme="majorEastAsia" w:eastAsiaTheme="majorEastAsia"/>
              </w:rPr>
              <w:t>7.1.2 天然橡胶和高阻尼橡胶的物理机械性能试验应符合</w:t>
            </w:r>
            <w:r>
              <w:rPr>
                <w:rFonts w:asciiTheme="majorEastAsia" w:hAnsiTheme="majorEastAsia" w:eastAsiaTheme="majorEastAsia"/>
              </w:rPr>
              <w:t>GB/T2941</w:t>
            </w:r>
            <w:r>
              <w:rPr>
                <w:rFonts w:hint="eastAsia" w:asciiTheme="majorEastAsia" w:hAnsiTheme="majorEastAsia" w:eastAsiaTheme="majorEastAsia"/>
              </w:rPr>
              <w:t>和</w:t>
            </w:r>
            <w:r>
              <w:rPr>
                <w:rFonts w:asciiTheme="majorEastAsia" w:hAnsiTheme="majorEastAsia" w:eastAsiaTheme="majorEastAsia"/>
              </w:rPr>
              <w:t>HG/T2198</w:t>
            </w:r>
            <w:r>
              <w:rPr>
                <w:rFonts w:hint="eastAsia" w:asciiTheme="majorEastAsia" w:hAnsiTheme="majorEastAsia" w:eastAsiaTheme="majorEastAsia"/>
              </w:rPr>
              <w:t>的规定。</w:t>
            </w:r>
          </w:p>
        </w:tc>
        <w:tc>
          <w:tcPr>
            <w:tcW w:w="5126" w:type="dxa"/>
          </w:tcPr>
          <w:p w14:paraId="39BC5E65">
            <w:pPr>
              <w:pStyle w:val="72"/>
              <w:ind w:firstLine="0" w:firstLineChars="0"/>
              <w:jc w:val="center"/>
            </w:pPr>
            <w:r>
              <w:rPr>
                <w:rFonts w:hint="eastAsia" w:asciiTheme="majorEastAsia" w:hAnsiTheme="majorEastAsia" w:eastAsiaTheme="majorEastAsia"/>
              </w:rPr>
              <w:t>7.1.2 天然橡胶</w:t>
            </w:r>
            <w:r>
              <w:rPr>
                <w:rFonts w:hint="eastAsia" w:asciiTheme="majorEastAsia" w:hAnsiTheme="majorEastAsia" w:eastAsiaTheme="majorEastAsia"/>
                <w:bdr w:val="single" w:color="auto" w:sz="4" w:space="0"/>
              </w:rPr>
              <w:t>和高阻尼橡胶</w:t>
            </w:r>
            <w:r>
              <w:rPr>
                <w:rFonts w:hint="eastAsia" w:asciiTheme="majorEastAsia" w:hAnsiTheme="majorEastAsia" w:eastAsiaTheme="majorEastAsia"/>
              </w:rPr>
              <w:t>的物理机械性能试验应符合</w:t>
            </w:r>
            <w:r>
              <w:rPr>
                <w:rFonts w:asciiTheme="majorEastAsia" w:hAnsiTheme="majorEastAsia" w:eastAsiaTheme="majorEastAsia"/>
              </w:rPr>
              <w:t>GB/T2941</w:t>
            </w:r>
            <w:r>
              <w:rPr>
                <w:rFonts w:hint="eastAsia" w:asciiTheme="majorEastAsia" w:hAnsiTheme="majorEastAsia" w:eastAsiaTheme="majorEastAsia"/>
                <w:bdr w:val="single" w:color="auto" w:sz="2" w:space="0"/>
              </w:rPr>
              <w:t>和</w:t>
            </w:r>
            <w:r>
              <w:rPr>
                <w:rFonts w:hint="eastAsia" w:asciiTheme="majorEastAsia" w:hAnsiTheme="majorEastAsia" w:eastAsiaTheme="majorEastAsia"/>
                <w:u w:val="single"/>
              </w:rPr>
              <w:t>、</w:t>
            </w:r>
            <w:r>
              <w:rPr>
                <w:rFonts w:asciiTheme="majorEastAsia" w:hAnsiTheme="majorEastAsia" w:eastAsiaTheme="majorEastAsia"/>
              </w:rPr>
              <w:t>HG/T2198</w:t>
            </w:r>
            <w:r>
              <w:rPr>
                <w:rFonts w:hint="eastAsia" w:asciiTheme="majorEastAsia" w:hAnsiTheme="majorEastAsia" w:eastAsiaTheme="majorEastAsia"/>
              </w:rPr>
              <w:t>的规定。</w:t>
            </w:r>
            <w:r>
              <w:rPr>
                <w:rFonts w:hint="eastAsia" w:hAnsi="宋体"/>
                <w:u w:val="single"/>
              </w:rPr>
              <w:t>高阻尼橡胶的物理机械性能试验方法应符合</w:t>
            </w:r>
            <w:r>
              <w:rPr>
                <w:rFonts w:hAnsi="宋体"/>
                <w:u w:val="single"/>
              </w:rPr>
              <w:t>GB/T2941</w:t>
            </w:r>
            <w:r>
              <w:rPr>
                <w:rFonts w:hint="eastAsia" w:hAnsi="宋体"/>
                <w:u w:val="single"/>
              </w:rPr>
              <w:t>、</w:t>
            </w:r>
            <w:r>
              <w:rPr>
                <w:rFonts w:hAnsi="宋体"/>
                <w:u w:val="single"/>
              </w:rPr>
              <w:t>HG/T2198</w:t>
            </w:r>
            <w:r>
              <w:rPr>
                <w:rFonts w:hint="eastAsia" w:hAnsi="宋体"/>
                <w:u w:val="single"/>
              </w:rPr>
              <w:t>的规定。</w:t>
            </w:r>
          </w:p>
        </w:tc>
      </w:tr>
      <w:tr w14:paraId="62AB12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25417E98">
            <w:pPr>
              <w:pStyle w:val="73"/>
              <w:numPr>
                <w:ilvl w:val="2"/>
                <w:numId w:val="0"/>
              </w:numPr>
              <w:rPr>
                <w:rFonts w:cs="黑体"/>
              </w:rPr>
            </w:pPr>
            <w:r>
              <w:rPr>
                <w:rFonts w:hint="eastAsia" w:cs="黑体"/>
              </w:rPr>
              <w:t>7.3 尺寸允许</w:t>
            </w:r>
            <w:r>
              <w:rPr>
                <w:rFonts w:cs="黑体"/>
              </w:rPr>
              <w:t>偏差</w:t>
            </w:r>
          </w:p>
          <w:p w14:paraId="5CA26568">
            <w:pPr>
              <w:pStyle w:val="72"/>
              <w:ind w:firstLine="0" w:firstLineChars="0"/>
              <w:jc w:val="left"/>
              <w:rPr>
                <w:rFonts w:hint="eastAsia" w:asciiTheme="majorEastAsia" w:hAnsiTheme="majorEastAsia" w:eastAsiaTheme="majorEastAsia"/>
              </w:rPr>
            </w:pPr>
            <w:r>
              <w:rPr>
                <w:rFonts w:hint="eastAsia"/>
              </w:rPr>
              <w:t xml:space="preserve">    支座产品</w:t>
            </w:r>
            <w:r>
              <w:t>尺寸</w:t>
            </w:r>
            <w:r>
              <w:rPr>
                <w:rFonts w:hint="eastAsia"/>
              </w:rPr>
              <w:t>测量</w:t>
            </w:r>
            <w:r>
              <w:t>的标准温度为</w:t>
            </w:r>
            <w:r>
              <w:rPr>
                <w:rFonts w:hint="eastAsia"/>
              </w:rPr>
              <w:t>（23</w:t>
            </w:r>
            <w:r>
              <w:rPr>
                <w:rFonts w:hint="eastAsia" w:hAnsi="宋体"/>
              </w:rPr>
              <w:t>±</w:t>
            </w:r>
            <w:r>
              <w:t>5</w:t>
            </w:r>
            <w:r>
              <w:rPr>
                <w:rFonts w:hint="eastAsia"/>
              </w:rPr>
              <w:t>）</w:t>
            </w:r>
            <w:r>
              <w:rPr>
                <w:rFonts w:hint="eastAsia" w:hAnsi="宋体"/>
              </w:rPr>
              <w:t>℃</w:t>
            </w:r>
            <w:r>
              <w:rPr>
                <w:rFonts w:hint="eastAsia"/>
              </w:rPr>
              <w:t>。产品尺寸可用钢直尺、</w:t>
            </w:r>
            <w:r>
              <w:t>游标卡尺</w:t>
            </w:r>
            <w:r>
              <w:rPr>
                <w:rFonts w:hint="eastAsia"/>
              </w:rPr>
              <w:t>、直</w:t>
            </w:r>
            <w:r>
              <w:t>角尺、倾角仪</w:t>
            </w:r>
            <w:r>
              <w:rPr>
                <w:rFonts w:hint="eastAsia"/>
              </w:rPr>
              <w:t>或其他</w:t>
            </w:r>
            <w:r>
              <w:t>工</w:t>
            </w:r>
            <w:r>
              <w:rPr>
                <w:rFonts w:hint="eastAsia"/>
              </w:rPr>
              <w:t>具进行测量，其测量尺寸</w:t>
            </w:r>
            <w:r>
              <w:t>的公差应</w:t>
            </w:r>
            <w:r>
              <w:rPr>
                <w:rFonts w:hint="eastAsia"/>
              </w:rPr>
              <w:t>符合</w:t>
            </w:r>
            <w:r>
              <w:t>GB/T 3672.1</w:t>
            </w:r>
            <w:r>
              <w:rPr>
                <w:rFonts w:hint="eastAsia"/>
              </w:rPr>
              <w:t>和</w:t>
            </w:r>
            <w:r>
              <w:t>GB/T 3672.</w:t>
            </w:r>
            <w:r>
              <w:rPr>
                <w:rFonts w:hint="eastAsia"/>
              </w:rPr>
              <w:t>2的规定</w:t>
            </w:r>
            <w:r>
              <w:t>。</w:t>
            </w:r>
            <w:r>
              <w:rPr>
                <w:rFonts w:hint="eastAsia"/>
              </w:rPr>
              <w:t>支座</w:t>
            </w:r>
            <w:r>
              <w:t>的平面尺寸测量，</w:t>
            </w:r>
            <w:r>
              <w:rPr>
                <w:rFonts w:hint="eastAsia"/>
              </w:rPr>
              <w:t>圆形支座的</w:t>
            </w:r>
            <w:r>
              <w:t>直径</w:t>
            </w:r>
            <w:r>
              <w:rPr>
                <w:rFonts w:hint="eastAsia"/>
              </w:rPr>
              <w:t>取</w:t>
            </w:r>
            <w:r>
              <w:t>两个不同位置</w:t>
            </w:r>
            <w:r>
              <w:rPr>
                <w:rFonts w:hint="eastAsia"/>
              </w:rPr>
              <w:t>测</w:t>
            </w:r>
            <w:r>
              <w:t>量值的</w:t>
            </w:r>
            <w:r>
              <w:rPr>
                <w:rFonts w:hint="eastAsia"/>
              </w:rPr>
              <w:t>平均</w:t>
            </w:r>
            <w:r>
              <w:t>值，矩形支座</w:t>
            </w:r>
            <w:r>
              <w:rPr>
                <w:rFonts w:hint="eastAsia"/>
              </w:rPr>
              <w:t>两个</w:t>
            </w:r>
            <w:r>
              <w:t>边长</w:t>
            </w:r>
            <w:r>
              <w:rPr>
                <w:rFonts w:hint="eastAsia"/>
              </w:rPr>
              <w:t>均</w:t>
            </w:r>
            <w:r>
              <w:t>取</w:t>
            </w:r>
            <w:r>
              <w:rPr>
                <w:rFonts w:hint="eastAsia"/>
              </w:rPr>
              <w:t>每</w:t>
            </w:r>
            <w:r>
              <w:t>边两个不同位置</w:t>
            </w:r>
            <w:r>
              <w:rPr>
                <w:rFonts w:hint="eastAsia"/>
              </w:rPr>
              <w:t>测</w:t>
            </w:r>
            <w:r>
              <w:t>量值的</w:t>
            </w:r>
            <w:r>
              <w:rPr>
                <w:rFonts w:hint="eastAsia"/>
              </w:rPr>
              <w:t>平均</w:t>
            </w:r>
            <w:r>
              <w:t>值</w:t>
            </w:r>
            <w:r>
              <w:rPr>
                <w:rFonts w:hint="eastAsia"/>
              </w:rPr>
              <w:t>。支座高度和</w:t>
            </w:r>
            <w:r>
              <w:t>厚度尺寸取</w:t>
            </w:r>
            <w:r>
              <w:rPr>
                <w:rFonts w:hint="eastAsia"/>
              </w:rPr>
              <w:t>最外侧4个</w:t>
            </w:r>
            <w:r>
              <w:t>不同位置测量值的平均值。</w:t>
            </w:r>
            <w:r>
              <w:rPr>
                <w:rFonts w:hint="eastAsia"/>
              </w:rPr>
              <w:t>支座平整</w:t>
            </w:r>
            <w:r>
              <w:t>度</w:t>
            </w:r>
            <w:r>
              <w:rPr>
                <w:rFonts w:hint="eastAsia"/>
              </w:rPr>
              <w:t>取</w:t>
            </w:r>
            <w:r>
              <w:t>支座周边</w:t>
            </w:r>
            <w:r>
              <w:rPr>
                <w:rFonts w:hint="eastAsia"/>
              </w:rPr>
              <w:t>4个</w:t>
            </w:r>
            <w:r>
              <w:t>不同位置所测得的</w:t>
            </w:r>
            <w:r>
              <w:rPr>
                <w:rFonts w:hint="eastAsia"/>
              </w:rPr>
              <w:t>2个</w:t>
            </w:r>
            <w:r>
              <w:t>高度差的最大值</w:t>
            </w:r>
            <w:r>
              <w:rPr>
                <w:rFonts w:hint="eastAsia"/>
              </w:rPr>
              <w:t>，</w:t>
            </w:r>
            <w:r>
              <w:t>测量位置与支座高度的测量位置相同</w:t>
            </w:r>
            <w:r>
              <w:rPr>
                <w:rFonts w:hint="eastAsia"/>
              </w:rPr>
              <w:t>。支座</w:t>
            </w:r>
            <w:r>
              <w:t>水平偏差取</w:t>
            </w:r>
            <w:r>
              <w:rPr>
                <w:rFonts w:hint="eastAsia"/>
              </w:rPr>
              <w:t>4个</w:t>
            </w:r>
            <w:r>
              <w:t>不同位置顶边和底边水平偏差</w:t>
            </w:r>
            <w:r>
              <w:rPr>
                <w:rFonts w:hint="eastAsia"/>
              </w:rPr>
              <w:t>测量</w:t>
            </w:r>
            <w:r>
              <w:t>值的最大值。</w:t>
            </w:r>
            <w:r>
              <w:rPr>
                <w:rFonts w:hint="eastAsia"/>
              </w:rPr>
              <w:t>侧表面垂直度可用直角尺或具有相应精度的量具测量。</w:t>
            </w:r>
          </w:p>
        </w:tc>
        <w:tc>
          <w:tcPr>
            <w:tcW w:w="5126" w:type="dxa"/>
          </w:tcPr>
          <w:p w14:paraId="5D193EF7">
            <w:pPr>
              <w:pStyle w:val="73"/>
              <w:numPr>
                <w:ilvl w:val="2"/>
                <w:numId w:val="0"/>
              </w:numPr>
              <w:rPr>
                <w:rFonts w:cs="黑体"/>
              </w:rPr>
            </w:pPr>
            <w:r>
              <w:rPr>
                <w:rFonts w:hint="eastAsia" w:cs="黑体"/>
              </w:rPr>
              <w:t>7.3 尺寸允许</w:t>
            </w:r>
            <w:r>
              <w:rPr>
                <w:rFonts w:cs="黑体"/>
              </w:rPr>
              <w:t>偏差</w:t>
            </w:r>
          </w:p>
          <w:p w14:paraId="2C91710F">
            <w:pPr>
              <w:pStyle w:val="72"/>
              <w:ind w:firstLine="0" w:firstLineChars="0"/>
              <w:jc w:val="left"/>
              <w:rPr>
                <w:rFonts w:hint="eastAsia" w:asciiTheme="majorEastAsia" w:hAnsiTheme="majorEastAsia" w:eastAsiaTheme="majorEastAsia"/>
              </w:rPr>
            </w:pPr>
            <w:r>
              <w:rPr>
                <w:rFonts w:hint="eastAsia"/>
              </w:rPr>
              <w:t xml:space="preserve">    支座产品</w:t>
            </w:r>
            <w:r>
              <w:t>尺寸</w:t>
            </w:r>
            <w:r>
              <w:rPr>
                <w:rFonts w:hint="eastAsia"/>
              </w:rPr>
              <w:t>测量</w:t>
            </w:r>
            <w:r>
              <w:t>的标准温度为</w:t>
            </w:r>
            <w:r>
              <w:rPr>
                <w:rFonts w:hint="eastAsia"/>
              </w:rPr>
              <w:t>（23</w:t>
            </w:r>
            <w:r>
              <w:rPr>
                <w:rFonts w:hint="eastAsia" w:hAnsi="宋体"/>
              </w:rPr>
              <w:t>±</w:t>
            </w:r>
            <w:r>
              <w:t>5</w:t>
            </w:r>
            <w:r>
              <w:rPr>
                <w:rFonts w:hint="eastAsia"/>
              </w:rPr>
              <w:t>）</w:t>
            </w:r>
            <w:r>
              <w:rPr>
                <w:rFonts w:hint="eastAsia" w:hAnsi="宋体"/>
              </w:rPr>
              <w:t>℃</w:t>
            </w:r>
            <w:r>
              <w:rPr>
                <w:rFonts w:hint="eastAsia"/>
              </w:rPr>
              <w:t>。产品尺寸可用钢直尺、</w:t>
            </w:r>
            <w:r>
              <w:t>游标卡尺</w:t>
            </w:r>
            <w:r>
              <w:rPr>
                <w:rFonts w:hint="eastAsia"/>
              </w:rPr>
              <w:t>、直</w:t>
            </w:r>
            <w:r>
              <w:t>角尺、倾角仪</w:t>
            </w:r>
            <w:r>
              <w:rPr>
                <w:rFonts w:hint="eastAsia"/>
              </w:rPr>
              <w:t>或其他</w:t>
            </w:r>
            <w:r>
              <w:t>工</w:t>
            </w:r>
            <w:r>
              <w:rPr>
                <w:rFonts w:hint="eastAsia"/>
              </w:rPr>
              <w:t>具进行测量，其测量尺寸</w:t>
            </w:r>
            <w:r>
              <w:t>的公差应</w:t>
            </w:r>
            <w:r>
              <w:rPr>
                <w:rFonts w:hint="eastAsia"/>
              </w:rPr>
              <w:t>符合</w:t>
            </w:r>
            <w:r>
              <w:t>GB/T 3672.1</w:t>
            </w:r>
            <w:r>
              <w:rPr>
                <w:rFonts w:hint="eastAsia"/>
                <w:bdr w:val="single" w:color="auto" w:sz="4" w:space="0"/>
              </w:rPr>
              <w:t>和</w:t>
            </w:r>
            <w:r>
              <w:rPr>
                <w:bdr w:val="single" w:color="auto" w:sz="4" w:space="0"/>
              </w:rPr>
              <w:t>GB/T 3672.</w:t>
            </w:r>
            <w:r>
              <w:rPr>
                <w:rFonts w:hint="eastAsia"/>
                <w:bdr w:val="single" w:color="auto" w:sz="4" w:space="0"/>
              </w:rPr>
              <w:t>2</w:t>
            </w:r>
            <w:r>
              <w:rPr>
                <w:rFonts w:hint="eastAsia"/>
              </w:rPr>
              <w:t>的规定</w:t>
            </w:r>
            <w:r>
              <w:t>。</w:t>
            </w:r>
            <w:r>
              <w:rPr>
                <w:rFonts w:hint="eastAsia"/>
              </w:rPr>
              <w:t>支座</w:t>
            </w:r>
            <w:r>
              <w:t>的平面尺寸测量，</w:t>
            </w:r>
            <w:r>
              <w:rPr>
                <w:rFonts w:hint="eastAsia"/>
              </w:rPr>
              <w:t>圆形支座的</w:t>
            </w:r>
            <w:r>
              <w:t>直径</w:t>
            </w:r>
            <w:r>
              <w:rPr>
                <w:rFonts w:hint="eastAsia"/>
              </w:rPr>
              <w:t>取</w:t>
            </w:r>
            <w:r>
              <w:t>两个不同位置</w:t>
            </w:r>
            <w:r>
              <w:rPr>
                <w:rFonts w:hint="eastAsia"/>
              </w:rPr>
              <w:t>测</w:t>
            </w:r>
            <w:r>
              <w:t>量值的</w:t>
            </w:r>
            <w:r>
              <w:rPr>
                <w:rFonts w:hint="eastAsia"/>
              </w:rPr>
              <w:t>平均</w:t>
            </w:r>
            <w:r>
              <w:t>值，矩形支座</w:t>
            </w:r>
            <w:r>
              <w:rPr>
                <w:rFonts w:hint="eastAsia"/>
              </w:rPr>
              <w:t>两个</w:t>
            </w:r>
            <w:r>
              <w:t>边长</w:t>
            </w:r>
            <w:r>
              <w:rPr>
                <w:rFonts w:hint="eastAsia"/>
              </w:rPr>
              <w:t>均</w:t>
            </w:r>
            <w:r>
              <w:t>取</w:t>
            </w:r>
            <w:r>
              <w:rPr>
                <w:rFonts w:hint="eastAsia"/>
              </w:rPr>
              <w:t>每</w:t>
            </w:r>
            <w:r>
              <w:t>边两个不同位置</w:t>
            </w:r>
            <w:r>
              <w:rPr>
                <w:rFonts w:hint="eastAsia"/>
              </w:rPr>
              <w:t>测</w:t>
            </w:r>
            <w:r>
              <w:t>量值的</w:t>
            </w:r>
            <w:r>
              <w:rPr>
                <w:rFonts w:hint="eastAsia"/>
              </w:rPr>
              <w:t>平均</w:t>
            </w:r>
            <w:r>
              <w:t>值</w:t>
            </w:r>
            <w:r>
              <w:rPr>
                <w:rFonts w:hint="eastAsia"/>
              </w:rPr>
              <w:t>。支座高度和</w:t>
            </w:r>
            <w:r>
              <w:t>厚度尺寸取</w:t>
            </w:r>
            <w:r>
              <w:rPr>
                <w:rFonts w:hint="eastAsia"/>
              </w:rPr>
              <w:t>最外侧4个</w:t>
            </w:r>
            <w:r>
              <w:t>不同位置测量值的平均值。</w:t>
            </w:r>
            <w:r>
              <w:rPr>
                <w:rFonts w:hint="eastAsia"/>
              </w:rPr>
              <w:t>支座平整</w:t>
            </w:r>
            <w:r>
              <w:t>度</w:t>
            </w:r>
            <w:r>
              <w:rPr>
                <w:rFonts w:hint="eastAsia"/>
              </w:rPr>
              <w:t>取</w:t>
            </w:r>
            <w:r>
              <w:t>支座周边</w:t>
            </w:r>
            <w:r>
              <w:rPr>
                <w:rFonts w:hint="eastAsia"/>
              </w:rPr>
              <w:t>4个</w:t>
            </w:r>
            <w:r>
              <w:t>不同位置所测得的</w:t>
            </w:r>
            <w:r>
              <w:rPr>
                <w:rFonts w:hint="eastAsia"/>
              </w:rPr>
              <w:t>2个</w:t>
            </w:r>
            <w:r>
              <w:t>高度差的最大值</w:t>
            </w:r>
            <w:r>
              <w:rPr>
                <w:rFonts w:hint="eastAsia"/>
              </w:rPr>
              <w:t>，</w:t>
            </w:r>
            <w:r>
              <w:t>测量位置与支座高度的测量位置相同</w:t>
            </w:r>
            <w:r>
              <w:rPr>
                <w:rFonts w:hint="eastAsia"/>
              </w:rPr>
              <w:t>。支座</w:t>
            </w:r>
            <w:r>
              <w:t>水平偏差取</w:t>
            </w:r>
            <w:r>
              <w:rPr>
                <w:rFonts w:hint="eastAsia"/>
              </w:rPr>
              <w:t>4个</w:t>
            </w:r>
            <w:r>
              <w:t>不同位置顶边和底边水平偏差</w:t>
            </w:r>
            <w:r>
              <w:rPr>
                <w:rFonts w:hint="eastAsia"/>
              </w:rPr>
              <w:t>测量</w:t>
            </w:r>
            <w:r>
              <w:t>值的最大值。</w:t>
            </w:r>
            <w:r>
              <w:rPr>
                <w:rFonts w:hint="eastAsia"/>
              </w:rPr>
              <w:t>侧表面垂直度可用直角尺或具有相应精度的量具测量。</w:t>
            </w:r>
          </w:p>
        </w:tc>
      </w:tr>
      <w:tr w14:paraId="7B5D7B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57EEF8D3">
            <w:pPr>
              <w:pStyle w:val="74"/>
              <w:numPr>
                <w:ilvl w:val="3"/>
                <w:numId w:val="0"/>
              </w:numPr>
              <w:rPr>
                <w:rFonts w:hint="eastAsia" w:ascii="黑体" w:hAnsi="黑体"/>
              </w:rPr>
            </w:pPr>
            <w:r>
              <w:rPr>
                <w:rFonts w:hint="eastAsia" w:ascii="黑体" w:hAnsi="黑体"/>
              </w:rPr>
              <w:t>7.4.1竖向压缩刚度</w:t>
            </w:r>
          </w:p>
          <w:p w14:paraId="05CCA1F4">
            <w:pPr>
              <w:pStyle w:val="72"/>
              <w:ind w:firstLine="420"/>
            </w:pPr>
            <w:r>
              <w:rPr>
                <w:rFonts w:hint="eastAsia"/>
              </w:rPr>
              <w:t>取与轴压应力（</w:t>
            </w:r>
            <w:r>
              <w:t>1</w:t>
            </w:r>
            <w:r>
              <w:rPr>
                <w:rFonts w:hint="eastAsia"/>
              </w:rPr>
              <w:t>±</w:t>
            </w:r>
            <w:r>
              <w:t>30%</w:t>
            </w:r>
            <w:r>
              <w:rPr>
                <w:rFonts w:hint="eastAsia"/>
              </w:rPr>
              <w:t>）</w:t>
            </w:r>
            <m:oMath>
              <m:sSub>
                <m:sSubPr>
                  <m:ctrlPr>
                    <w:rPr>
                      <w:rFonts w:ascii="Cambria Math" w:hAnsi="Cambria Math"/>
                    </w:rPr>
                  </m:ctrlPr>
                </m:sSubPr>
                <m:e>
                  <m:r>
                    <m:rPr/>
                    <w:rPr>
                      <w:rFonts w:ascii="Cambria Math" w:hAnsi="Cambria Math"/>
                    </w:rPr>
                    <m:t>σ</m:t>
                  </m:r>
                  <m:ctrlPr>
                    <w:rPr>
                      <w:rFonts w:ascii="Cambria Math" w:hAnsi="Cambria Math"/>
                    </w:rPr>
                  </m:ctrlPr>
                </m:e>
                <m:sub>
                  <m:r>
                    <m:rPr/>
                    <w:rPr>
                      <w:rFonts w:ascii="Cambria Math" w:hAnsi="Cambria Math"/>
                    </w:rPr>
                    <m:t>0</m:t>
                  </m:r>
                  <m:ctrlPr>
                    <w:rPr>
                      <w:rFonts w:ascii="Cambria Math" w:hAnsi="Cambria Math"/>
                    </w:rPr>
                  </m:ctrlPr>
                </m:sub>
              </m:sSub>
            </m:oMath>
            <w:r>
              <w:rPr>
                <w:rFonts w:hint="eastAsia"/>
              </w:rPr>
              <w:t>相应的竖向荷载（</w:t>
            </w:r>
            <m:oMath>
              <m:sSub>
                <m:sSubPr>
                  <m:ctrlPr>
                    <w:rPr>
                      <w:rFonts w:ascii="Cambria Math" w:hAnsi="Cambria Math"/>
                    </w:rPr>
                  </m:ctrlPr>
                </m:sSubPr>
                <m:e>
                  <m:r>
                    <m:rPr/>
                    <w:rPr>
                      <w:rFonts w:ascii="Cambria Math" w:hAnsi="Cambria Math"/>
                    </w:rPr>
                    <m:t>σ</m:t>
                  </m:r>
                  <m:ctrlPr>
                    <w:rPr>
                      <w:rFonts w:ascii="Cambria Math" w:hAnsi="Cambria Math"/>
                    </w:rPr>
                  </m:ctrlPr>
                </m:e>
                <m:sub>
                  <m:r>
                    <m:rPr/>
                    <w:rPr>
                      <w:rFonts w:ascii="Cambria Math" w:hAnsi="Cambria Math"/>
                    </w:rPr>
                    <m:t>0</m:t>
                  </m:r>
                  <m:ctrlPr>
                    <w:rPr>
                      <w:rFonts w:ascii="Cambria Math" w:hAnsi="Cambria Math"/>
                    </w:rPr>
                  </m:ctrlPr>
                </m:sub>
              </m:sSub>
            </m:oMath>
            <w:r>
              <w:rPr>
                <w:rFonts w:hint="eastAsia" w:ascii="Cambria Math" w:hAnsi="Cambria Math"/>
              </w:rPr>
              <w:t>为产品的设计轴压应力，MPa</w:t>
            </w:r>
            <w:r>
              <w:rPr>
                <w:rFonts w:hint="eastAsia"/>
              </w:rPr>
              <w:t>），</w:t>
            </w:r>
            <w:r>
              <w:t>3</w:t>
            </w:r>
            <w:r>
              <w:rPr>
                <w:rFonts w:hint="eastAsia"/>
              </w:rPr>
              <w:t>次往复加载，绘出竖向荷载与竖向位移关系曲线。取第</w:t>
            </w:r>
            <w:r>
              <w:t>3</w:t>
            </w:r>
            <w:r>
              <w:rPr>
                <w:rFonts w:hint="eastAsia"/>
              </w:rPr>
              <w:t>次往复加载结果，按式(1)计算竖向刚度：</w:t>
            </w:r>
          </w:p>
          <w:p w14:paraId="166DC551">
            <w:pPr>
              <w:pStyle w:val="72"/>
              <w:ind w:firstLine="420"/>
              <w:jc w:val="center"/>
            </w:pPr>
            <m:oMathPara>
              <m:oMathParaPr>
                <m:jc m:val="right"/>
              </m:oMathParaPr>
              <m:oMath>
                <m:sSub>
                  <m:sSubPr>
                    <m:ctrlPr>
                      <w:rPr>
                        <w:rFonts w:ascii="Cambria Math" w:hAnsi="Cambria Math"/>
                      </w:rPr>
                    </m:ctrlPr>
                  </m:sSubPr>
                  <m:e>
                    <m:r>
                      <m:rPr/>
                      <w:rPr>
                        <w:rFonts w:ascii="Cambria Math" w:hAnsi="Cambria Math"/>
                      </w:rPr>
                      <m:t>K</m:t>
                    </m:r>
                    <m:ctrlPr>
                      <w:rPr>
                        <w:rFonts w:ascii="Cambria Math" w:hAnsi="Cambria Math"/>
                      </w:rPr>
                    </m:ctrlPr>
                  </m:e>
                  <m:sub>
                    <m:r>
                      <m:rPr>
                        <m:sty m:val="p"/>
                      </m:rPr>
                      <w:rPr>
                        <w:rFonts w:hint="eastAsia" w:ascii="Cambria Math" w:hAnsi="Cambria Math"/>
                      </w:rPr>
                      <m:t>v</m:t>
                    </m:r>
                    <m:ctrlPr>
                      <w:rPr>
                        <w:rFonts w:ascii="Cambria Math" w:hAnsi="Cambria Math"/>
                      </w:rPr>
                    </m:ctrlPr>
                  </m:sub>
                </m:sSub>
                <m:r>
                  <m:rPr/>
                  <w:rPr>
                    <w:rFonts w:ascii="Cambria Math" w:hAnsi="Cambria Math"/>
                  </w:rPr>
                  <m:t>=</m:t>
                </m:r>
                <m:f>
                  <m:fPr>
                    <m:ctrlPr>
                      <w:rPr>
                        <w:rFonts w:ascii="Cambria Math" w:hAnsi="Cambria Math"/>
                        <w:i/>
                      </w:rPr>
                    </m:ctrlPr>
                  </m:fPr>
                  <m:num>
                    <m:sSub>
                      <m:sSubPr>
                        <m:ctrlPr>
                          <w:rPr>
                            <w:rFonts w:ascii="Cambria Math" w:hAnsi="Cambria Math"/>
                            <w:i/>
                          </w:rPr>
                        </m:ctrlPr>
                      </m:sSubPr>
                      <m:e>
                        <m:r>
                          <m:rPr/>
                          <w:rPr>
                            <w:rFonts w:hint="eastAsia" w:ascii="Cambria Math" w:hAnsi="Cambria Math"/>
                          </w:rPr>
                          <m:t>P</m:t>
                        </m:r>
                        <m:ctrlPr>
                          <w:rPr>
                            <w:rFonts w:ascii="Cambria Math" w:hAnsi="Cambria Math"/>
                            <w:i/>
                          </w:rPr>
                        </m:ctrlPr>
                      </m:e>
                      <m:sub>
                        <m:r>
                          <m:rPr/>
                          <w:rPr>
                            <w:rFonts w:hint="eastAsia" w:ascii="Cambria Math" w:hAnsi="Cambria Math"/>
                          </w:rPr>
                          <m:t>1</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hint="eastAsia" w:ascii="Cambria Math" w:hAnsi="Cambria Math"/>
                          </w:rPr>
                          <m:t>P</m:t>
                        </m:r>
                        <m:ctrlPr>
                          <w:rPr>
                            <w:rFonts w:ascii="Cambria Math" w:hAnsi="Cambria Math"/>
                            <w:i/>
                          </w:rPr>
                        </m:ctrlPr>
                      </m:e>
                      <m:sub>
                        <m:r>
                          <m:rPr/>
                          <w:rPr>
                            <w:rFonts w:hint="eastAsia" w:ascii="Cambria Math" w:hAnsi="Cambria Math"/>
                          </w:rPr>
                          <m:t>2</m:t>
                        </m:r>
                        <m:ctrlPr>
                          <w:rPr>
                            <w:rFonts w:ascii="Cambria Math" w:hAnsi="Cambria Math"/>
                            <w:i/>
                          </w:rPr>
                        </m:ctrlPr>
                      </m:sub>
                    </m:sSub>
                    <m:ctrlPr>
                      <w:rPr>
                        <w:rFonts w:ascii="Cambria Math" w:hAnsi="Cambria Math"/>
                        <w:i/>
                      </w:rPr>
                    </m:ctrlPr>
                  </m:num>
                  <m:den>
                    <m:sSub>
                      <m:sSubPr>
                        <m:ctrlPr>
                          <w:rPr>
                            <w:rFonts w:ascii="Cambria Math" w:hAnsi="Cambria Math"/>
                            <w:i/>
                          </w:rPr>
                        </m:ctrlPr>
                      </m:sSubPr>
                      <m:e>
                        <m:r>
                          <m:rPr/>
                          <w:rPr>
                            <w:rFonts w:ascii="Cambria Math" w:hAnsi="Cambria Math"/>
                          </w:rPr>
                          <m:t>δ</m:t>
                        </m:r>
                        <m:ctrlPr>
                          <w:rPr>
                            <w:rFonts w:ascii="Cambria Math" w:hAnsi="Cambria Math"/>
                            <w:i/>
                          </w:rPr>
                        </m:ctrlPr>
                      </m:e>
                      <m:sub>
                        <m:r>
                          <m:rPr/>
                          <w:rPr>
                            <w:rFonts w:hint="eastAsia" w:ascii="Cambria Math" w:hAnsi="Cambria Math"/>
                          </w:rPr>
                          <m:t>1</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δ</m:t>
                        </m:r>
                        <m:ctrlPr>
                          <w:rPr>
                            <w:rFonts w:ascii="Cambria Math" w:hAnsi="Cambria Math"/>
                            <w:i/>
                          </w:rPr>
                        </m:ctrlPr>
                      </m:e>
                      <m:sub>
                        <m:r>
                          <m:rPr/>
                          <w:rPr>
                            <w:rFonts w:hint="eastAsia" w:ascii="Cambria Math" w:hAnsi="Cambria Math"/>
                          </w:rPr>
                          <m:t>2</m:t>
                        </m:r>
                        <m:ctrlPr>
                          <w:rPr>
                            <w:rFonts w:ascii="Cambria Math" w:hAnsi="Cambria Math"/>
                            <w:i/>
                          </w:rPr>
                        </m:ctrlPr>
                      </m:sub>
                    </m:sSub>
                    <m:ctrlPr>
                      <w:rPr>
                        <w:rFonts w:ascii="Cambria Math" w:hAnsi="Cambria Math"/>
                        <w:i/>
                      </w:rPr>
                    </m:ctrlPr>
                  </m:den>
                </m:f>
                <m:r>
                  <m:rPr/>
                  <w:rPr>
                    <w:rFonts w:hint="eastAsia" w:ascii="Cambria Math" w:hAnsi="Cambria Math"/>
                  </w:rPr>
                  <m:t xml:space="preserve">               </m:t>
                </m:r>
                <m:r>
                  <m:rPr/>
                  <w:rPr>
                    <w:rFonts w:ascii="Cambria Math" w:hAnsi="Cambria Math"/>
                  </w:rPr>
                  <m:t xml:space="preserve">  </m:t>
                </m:r>
                <m:r>
                  <m:rPr/>
                  <w:rPr>
                    <w:rFonts w:hint="eastAsia" w:ascii="Cambria Math" w:hAnsi="Cambria Math"/>
                  </w:rPr>
                  <m:t xml:space="preserve">           </m:t>
                </m:r>
                <m:r>
                  <m:rPr/>
                  <w:rPr>
                    <w:rFonts w:ascii="Cambria Math" w:hAnsi="Cambria Math" w:cs="Times New Roman"/>
                    <w:lang w:val="de-DE"/>
                  </w:rPr>
                  <m:t>⋯⋯⋯⋯⋯⋯⋯⋯⋯⋯</m:t>
                </m:r>
                <m:r>
                  <m:rPr/>
                  <w:rPr>
                    <w:rFonts w:hint="eastAsia" w:ascii="Cambria Math" w:hAnsi="Cambria Math"/>
                  </w:rPr>
                  <m:t>(1)</m:t>
                </m:r>
              </m:oMath>
            </m:oMathPara>
          </w:p>
          <w:p w14:paraId="0C376655">
            <w:pPr>
              <w:pStyle w:val="72"/>
              <w:ind w:firstLine="363" w:firstLineChars="202"/>
              <w:rPr>
                <w:rFonts w:cs="Times New Roman"/>
                <w:sz w:val="18"/>
                <w:szCs w:val="18"/>
              </w:rPr>
            </w:pPr>
            <w:r>
              <w:rPr>
                <w:rFonts w:hint="eastAsia"/>
                <w:sz w:val="18"/>
                <w:szCs w:val="18"/>
              </w:rPr>
              <w:t>式中：</w:t>
            </w:r>
          </w:p>
          <w:p w14:paraId="445D7D4E">
            <w:pPr>
              <w:pStyle w:val="72"/>
              <w:ind w:firstLine="424" w:firstLineChars="202"/>
              <w:rPr>
                <w:rFonts w:cs="Times New Roman"/>
              </w:rPr>
            </w:pPr>
            <w:r>
              <w:rPr>
                <w:rFonts w:ascii="Cambria Math" w:hAnsi="Cambria Math"/>
                <w:i/>
              </w:rPr>
              <w:t>K</w:t>
            </w:r>
            <w:r>
              <w:rPr>
                <w:rFonts w:ascii="Cambria Math" w:hAnsi="Cambria Math"/>
                <w:vertAlign w:val="subscript"/>
              </w:rPr>
              <w:t>v</w:t>
            </w:r>
            <w:r>
              <w:t>——</w:t>
            </w:r>
            <w:r>
              <w:rPr>
                <w:rFonts w:hint="eastAsia"/>
              </w:rPr>
              <w:t>建筑隔震橡胶支座竖向刚度（kN/m）；</w:t>
            </w:r>
          </w:p>
          <w:p w14:paraId="519CFC8A">
            <w:pPr>
              <w:pStyle w:val="72"/>
              <w:ind w:firstLine="424" w:firstLineChars="202"/>
              <w:rPr>
                <w:rFonts w:cs="Times New Roman"/>
              </w:rPr>
            </w:pPr>
            <m:oMath>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1</m:t>
                  </m:r>
                  <m:ctrlPr>
                    <w:rPr>
                      <w:rFonts w:ascii="Cambria Math" w:hAnsi="Cambria Math"/>
                    </w:rPr>
                  </m:ctrlPr>
                </m:sub>
              </m:sSub>
            </m:oMath>
            <w:r>
              <w:t>——</w:t>
            </w:r>
            <w:r>
              <w:rPr>
                <w:rFonts w:hint="eastAsia"/>
              </w:rPr>
              <w:t>平均压应力为</w:t>
            </w:r>
            <w:r>
              <w:t>1.3</w:t>
            </w:r>
            <m:oMath>
              <m:sSub>
                <m:sSubPr>
                  <m:ctrlPr>
                    <w:rPr>
                      <w:rFonts w:ascii="Cambria Math" w:hAnsi="Cambria Math"/>
                    </w:rPr>
                  </m:ctrlPr>
                </m:sSubPr>
                <m:e>
                  <m:r>
                    <m:rPr/>
                    <w:rPr>
                      <w:rFonts w:ascii="Cambria Math" w:hAnsi="Cambria Math"/>
                    </w:rPr>
                    <m:t>σ</m:t>
                  </m:r>
                  <m:ctrlPr>
                    <w:rPr>
                      <w:rFonts w:ascii="Cambria Math" w:hAnsi="Cambria Math"/>
                    </w:rPr>
                  </m:ctrlPr>
                </m:e>
                <m:sub>
                  <m:r>
                    <m:rPr/>
                    <w:rPr>
                      <w:rFonts w:ascii="Cambria Math" w:hAnsi="Cambria Math"/>
                    </w:rPr>
                    <m:t>0</m:t>
                  </m:r>
                  <m:ctrlPr>
                    <w:rPr>
                      <w:rFonts w:ascii="Cambria Math" w:hAnsi="Cambria Math"/>
                    </w:rPr>
                  </m:ctrlPr>
                </m:sub>
              </m:sSub>
            </m:oMath>
            <w:r>
              <w:rPr>
                <w:rFonts w:hint="eastAsia"/>
              </w:rPr>
              <w:t>时的竖向荷载（kN）；</w:t>
            </w:r>
          </w:p>
          <w:p w14:paraId="0E9126DB">
            <w:pPr>
              <w:pStyle w:val="72"/>
              <w:ind w:firstLine="409" w:firstLineChars="195"/>
              <w:rPr>
                <w:rFonts w:cs="Times New Roman"/>
              </w:rPr>
            </w:pPr>
            <m:oMath>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2</m:t>
                  </m:r>
                  <m:ctrlPr>
                    <w:rPr>
                      <w:rFonts w:ascii="Cambria Math" w:hAnsi="Cambria Math"/>
                    </w:rPr>
                  </m:ctrlPr>
                </m:sub>
              </m:sSub>
            </m:oMath>
            <w:r>
              <w:rPr>
                <w:vertAlign w:val="subscript"/>
              </w:rPr>
              <w:t xml:space="preserve"> </w:t>
            </w:r>
            <w:r>
              <w:t>——</w:t>
            </w:r>
            <w:r>
              <w:rPr>
                <w:rFonts w:hint="eastAsia"/>
              </w:rPr>
              <w:t>平均压应力为</w:t>
            </w:r>
            <w:r>
              <w:t>0.7</w:t>
            </w:r>
            <m:oMath>
              <m:sSub>
                <m:sSubPr>
                  <m:ctrlPr>
                    <w:rPr>
                      <w:rFonts w:ascii="Cambria Math" w:hAnsi="Cambria Math"/>
                    </w:rPr>
                  </m:ctrlPr>
                </m:sSubPr>
                <m:e>
                  <m:r>
                    <m:rPr/>
                    <w:rPr>
                      <w:rFonts w:ascii="Cambria Math" w:hAnsi="Cambria Math"/>
                    </w:rPr>
                    <m:t>σ</m:t>
                  </m:r>
                  <m:ctrlPr>
                    <w:rPr>
                      <w:rFonts w:ascii="Cambria Math" w:hAnsi="Cambria Math"/>
                    </w:rPr>
                  </m:ctrlPr>
                </m:e>
                <m:sub>
                  <m:r>
                    <m:rPr/>
                    <w:rPr>
                      <w:rFonts w:ascii="Cambria Math" w:hAnsi="Cambria Math"/>
                    </w:rPr>
                    <m:t>0</m:t>
                  </m:r>
                  <m:ctrlPr>
                    <w:rPr>
                      <w:rFonts w:ascii="Cambria Math" w:hAnsi="Cambria Math"/>
                    </w:rPr>
                  </m:ctrlPr>
                </m:sub>
              </m:sSub>
            </m:oMath>
            <w:r>
              <w:rPr>
                <w:rFonts w:hint="eastAsia"/>
              </w:rPr>
              <w:t>时的竖向荷载（kN）；</w:t>
            </w:r>
          </w:p>
          <w:p w14:paraId="718C6889">
            <w:pPr>
              <w:pStyle w:val="72"/>
              <w:ind w:firstLine="424" w:firstLineChars="202"/>
              <w:rPr>
                <w:rFonts w:cs="Times New Roman"/>
              </w:rPr>
            </w:pPr>
            <m:oMath>
              <m:sSub>
                <m:sSubPr>
                  <m:ctrlPr>
                    <w:rPr>
                      <w:rFonts w:ascii="Cambria Math" w:hAnsi="Cambria Math"/>
                    </w:rPr>
                  </m:ctrlPr>
                </m:sSubPr>
                <m:e>
                  <m:r>
                    <m:rPr/>
                    <w:rPr>
                      <w:rFonts w:ascii="Cambria Math" w:hAnsi="Cambria Math"/>
                    </w:rPr>
                    <m:t>δ</m:t>
                  </m:r>
                  <m:ctrlPr>
                    <w:rPr>
                      <w:rFonts w:ascii="Cambria Math" w:hAnsi="Cambria Math"/>
                    </w:rPr>
                  </m:ctrlPr>
                </m:e>
                <m:sub>
                  <m:r>
                    <m:rPr/>
                    <w:rPr>
                      <w:rFonts w:ascii="Cambria Math" w:hAnsi="Cambria Math"/>
                    </w:rPr>
                    <m:t>1</m:t>
                  </m:r>
                  <m:ctrlPr>
                    <w:rPr>
                      <w:rFonts w:ascii="Cambria Math" w:hAnsi="Cambria Math"/>
                    </w:rPr>
                  </m:ctrlPr>
                </m:sub>
              </m:sSub>
            </m:oMath>
            <w:r>
              <w:t>——</w:t>
            </w:r>
            <w:r>
              <w:rPr>
                <w:rFonts w:hint="eastAsia"/>
              </w:rPr>
              <w:t>竖向荷载为</w:t>
            </w:r>
            <w:r>
              <w:t>P</w:t>
            </w:r>
            <w:r>
              <w:rPr>
                <w:vertAlign w:val="subscript"/>
              </w:rPr>
              <w:t>1</w:t>
            </w:r>
            <w:r>
              <w:rPr>
                <w:rFonts w:hint="eastAsia"/>
              </w:rPr>
              <w:t>时的竖向位移（m）；</w:t>
            </w:r>
          </w:p>
          <w:p w14:paraId="32934CD3">
            <w:pPr>
              <w:pStyle w:val="72"/>
              <w:ind w:firstLine="0" w:firstLineChars="0"/>
              <w:jc w:val="left"/>
            </w:pPr>
            <m:oMath>
              <m:sSub>
                <m:sSubPr>
                  <m:ctrlPr>
                    <w:rPr>
                      <w:rFonts w:ascii="Cambria Math" w:hAnsi="Cambria Math"/>
                    </w:rPr>
                  </m:ctrlPr>
                </m:sSubPr>
                <m:e>
                  <m:r>
                    <m:rPr/>
                    <w:rPr>
                      <w:rFonts w:ascii="Cambria Math" w:hAnsi="Cambria Math"/>
                    </w:rPr>
                    <m:t>δ</m:t>
                  </m:r>
                  <m:ctrlPr>
                    <w:rPr>
                      <w:rFonts w:ascii="Cambria Math" w:hAnsi="Cambria Math"/>
                    </w:rPr>
                  </m:ctrlPr>
                </m:e>
                <m:sub>
                  <m:r>
                    <m:rPr/>
                    <w:rPr>
                      <w:rFonts w:ascii="Cambria Math" w:hAnsi="Cambria Math"/>
                    </w:rPr>
                    <m:t>2</m:t>
                  </m:r>
                  <m:ctrlPr>
                    <w:rPr>
                      <w:rFonts w:ascii="Cambria Math" w:hAnsi="Cambria Math"/>
                    </w:rPr>
                  </m:ctrlPr>
                </m:sub>
              </m:sSub>
            </m:oMath>
            <w:r>
              <w:t>——</w:t>
            </w:r>
            <w:r>
              <w:rPr>
                <w:rFonts w:hint="eastAsia"/>
              </w:rPr>
              <w:t>竖向荷载为</w:t>
            </w:r>
            <w:r>
              <w:t>P</w:t>
            </w:r>
            <w:r>
              <w:rPr>
                <w:vertAlign w:val="subscript"/>
              </w:rPr>
              <w:t>2</w:t>
            </w:r>
            <w:r>
              <w:rPr>
                <w:rFonts w:hint="eastAsia"/>
              </w:rPr>
              <w:t>时的竖向位移（m）。</w:t>
            </w:r>
          </w:p>
        </w:tc>
        <w:tc>
          <w:tcPr>
            <w:tcW w:w="5126" w:type="dxa"/>
          </w:tcPr>
          <w:p w14:paraId="57F71AA2">
            <w:pPr>
              <w:pStyle w:val="74"/>
              <w:numPr>
                <w:ilvl w:val="3"/>
                <w:numId w:val="0"/>
              </w:numPr>
              <w:rPr>
                <w:rFonts w:hint="eastAsia" w:ascii="黑体" w:hAnsi="黑体"/>
              </w:rPr>
            </w:pPr>
            <w:r>
              <w:rPr>
                <w:rFonts w:hint="eastAsia" w:ascii="黑体" w:hAnsi="黑体"/>
              </w:rPr>
              <w:t>7.4.1竖向压缩刚度</w:t>
            </w:r>
          </w:p>
          <w:p w14:paraId="3DC5ACD7">
            <w:pPr>
              <w:pStyle w:val="72"/>
              <w:ind w:firstLine="420"/>
            </w:pPr>
            <w:r>
              <w:rPr>
                <w:rFonts w:hint="eastAsia"/>
              </w:rPr>
              <w:t>取与轴压应力（</w:t>
            </w:r>
            <w:r>
              <w:t>1</w:t>
            </w:r>
            <w:r>
              <w:rPr>
                <w:rFonts w:hint="eastAsia"/>
              </w:rPr>
              <w:t>±</w:t>
            </w:r>
            <w:r>
              <w:t>30%</w:t>
            </w:r>
            <w:r>
              <w:rPr>
                <w:rFonts w:hint="eastAsia"/>
              </w:rPr>
              <w:t>）</w:t>
            </w:r>
            <m:oMath>
              <m:sSub>
                <m:sSubPr>
                  <m:ctrlPr>
                    <w:rPr>
                      <w:rFonts w:ascii="Cambria Math" w:hAnsi="Cambria Math"/>
                    </w:rPr>
                  </m:ctrlPr>
                </m:sSubPr>
                <m:e>
                  <m:r>
                    <m:rPr/>
                    <w:rPr>
                      <w:rFonts w:ascii="Cambria Math" w:hAnsi="Cambria Math"/>
                    </w:rPr>
                    <m:t>σ</m:t>
                  </m:r>
                  <m:ctrlPr>
                    <w:rPr>
                      <w:rFonts w:ascii="Cambria Math" w:hAnsi="Cambria Math"/>
                    </w:rPr>
                  </m:ctrlPr>
                </m:e>
                <m:sub>
                  <m:r>
                    <m:rPr/>
                    <w:rPr>
                      <w:rFonts w:ascii="Cambria Math" w:hAnsi="Cambria Math"/>
                    </w:rPr>
                    <m:t>0</m:t>
                  </m:r>
                  <m:ctrlPr>
                    <w:rPr>
                      <w:rFonts w:ascii="Cambria Math" w:hAnsi="Cambria Math"/>
                    </w:rPr>
                  </m:ctrlPr>
                </m:sub>
              </m:sSub>
            </m:oMath>
            <w:r>
              <w:rPr>
                <w:rFonts w:hint="eastAsia"/>
              </w:rPr>
              <w:t>相应的竖向荷载</w:t>
            </w:r>
            <w:r>
              <w:rPr>
                <w:rFonts w:hint="eastAsia"/>
                <w:bdr w:val="single" w:color="auto" w:sz="2" w:space="0"/>
              </w:rPr>
              <w:t>（</w:t>
            </w:r>
            <m:oMath>
              <m:sSub>
                <m:sSubPr>
                  <m:ctrlPr>
                    <w:rPr>
                      <w:rFonts w:ascii="Cambria Math" w:hAnsi="Cambria Math"/>
                      <w:bdr w:val="single" w:color="auto" w:sz="2" w:space="0"/>
                    </w:rPr>
                  </m:ctrlPr>
                </m:sSubPr>
                <m:e>
                  <m:r>
                    <m:rPr/>
                    <w:rPr>
                      <w:rFonts w:ascii="Cambria Math" w:hAnsi="Cambria Math"/>
                      <w:bdr w:val="single" w:color="auto" w:sz="2" w:space="0"/>
                    </w:rPr>
                    <m:t>σ</m:t>
                  </m:r>
                  <m:ctrlPr>
                    <w:rPr>
                      <w:rFonts w:ascii="Cambria Math" w:hAnsi="Cambria Math"/>
                      <w:bdr w:val="single" w:color="auto" w:sz="2" w:space="0"/>
                    </w:rPr>
                  </m:ctrlPr>
                </m:e>
                <m:sub>
                  <m:r>
                    <m:rPr/>
                    <w:rPr>
                      <w:rFonts w:ascii="Cambria Math" w:hAnsi="Cambria Math"/>
                      <w:bdr w:val="single" w:color="auto" w:sz="2" w:space="0"/>
                    </w:rPr>
                    <m:t>0</m:t>
                  </m:r>
                  <m:ctrlPr>
                    <w:rPr>
                      <w:rFonts w:ascii="Cambria Math" w:hAnsi="Cambria Math"/>
                      <w:bdr w:val="single" w:color="auto" w:sz="2" w:space="0"/>
                    </w:rPr>
                  </m:ctrlPr>
                </m:sub>
              </m:sSub>
            </m:oMath>
            <w:r>
              <w:rPr>
                <w:rFonts w:hint="eastAsia" w:ascii="Cambria Math" w:hAnsi="Cambria Math"/>
                <w:bdr w:val="single" w:color="auto" w:sz="2" w:space="0"/>
              </w:rPr>
              <w:t>为产品的设计轴压应力，MPa</w:t>
            </w:r>
            <w:r>
              <w:rPr>
                <w:rFonts w:hint="eastAsia"/>
                <w:bdr w:val="single" w:color="auto" w:sz="2" w:space="0"/>
              </w:rPr>
              <w:t>）</w:t>
            </w:r>
            <w:r>
              <w:rPr>
                <w:rFonts w:hint="eastAsia"/>
              </w:rPr>
              <w:t>，</w:t>
            </w:r>
            <w:r>
              <w:t>3</w:t>
            </w:r>
            <w:r>
              <w:rPr>
                <w:rFonts w:hint="eastAsia"/>
              </w:rPr>
              <w:t>次往复加载，绘出竖向荷载与竖向位移关系曲线。取第</w:t>
            </w:r>
            <w:r>
              <w:t>3</w:t>
            </w:r>
            <w:r>
              <w:rPr>
                <w:rFonts w:hint="eastAsia"/>
              </w:rPr>
              <w:t>次往复加载结果，按式(1)计算竖向刚度：</w:t>
            </w:r>
          </w:p>
          <w:p w14:paraId="638494D6">
            <w:pPr>
              <w:pStyle w:val="72"/>
              <w:ind w:firstLine="420"/>
              <w:jc w:val="center"/>
            </w:pPr>
            <m:oMathPara>
              <m:oMathParaPr>
                <m:jc m:val="right"/>
              </m:oMathParaPr>
              <m:oMath>
                <m:sSub>
                  <m:sSubPr>
                    <m:ctrlPr>
                      <w:rPr>
                        <w:rFonts w:ascii="Cambria Math" w:hAnsi="Cambria Math"/>
                      </w:rPr>
                    </m:ctrlPr>
                  </m:sSubPr>
                  <m:e>
                    <m:r>
                      <m:rPr/>
                      <w:rPr>
                        <w:rFonts w:ascii="Cambria Math" w:hAnsi="Cambria Math"/>
                      </w:rPr>
                      <m:t>K</m:t>
                    </m:r>
                    <m:ctrlPr>
                      <w:rPr>
                        <w:rFonts w:ascii="Cambria Math" w:hAnsi="Cambria Math"/>
                      </w:rPr>
                    </m:ctrlPr>
                  </m:e>
                  <m:sub>
                    <m:r>
                      <m:rPr>
                        <m:sty m:val="p"/>
                      </m:rPr>
                      <w:rPr>
                        <w:rFonts w:hint="eastAsia" w:ascii="Cambria Math" w:hAnsi="Cambria Math"/>
                      </w:rPr>
                      <m:t>v</m:t>
                    </m:r>
                    <m:ctrlPr>
                      <w:rPr>
                        <w:rFonts w:ascii="Cambria Math" w:hAnsi="Cambria Math"/>
                      </w:rPr>
                    </m:ctrlPr>
                  </m:sub>
                </m:sSub>
                <m:r>
                  <m:rPr/>
                  <w:rPr>
                    <w:rFonts w:ascii="Cambria Math" w:hAnsi="Cambria Math"/>
                  </w:rPr>
                  <m:t>=</m:t>
                </m:r>
                <m:f>
                  <m:fPr>
                    <m:ctrlPr>
                      <w:rPr>
                        <w:rFonts w:ascii="Cambria Math" w:hAnsi="Cambria Math"/>
                        <w:i/>
                      </w:rPr>
                    </m:ctrlPr>
                  </m:fPr>
                  <m:num>
                    <m:sSub>
                      <m:sSubPr>
                        <m:ctrlPr>
                          <w:rPr>
                            <w:rFonts w:ascii="Cambria Math" w:hAnsi="Cambria Math"/>
                            <w:i/>
                          </w:rPr>
                        </m:ctrlPr>
                      </m:sSubPr>
                      <m:e>
                        <m:r>
                          <m:rPr/>
                          <w:rPr>
                            <w:rFonts w:hint="eastAsia" w:ascii="Cambria Math" w:hAnsi="Cambria Math"/>
                          </w:rPr>
                          <m:t>P</m:t>
                        </m:r>
                        <m:ctrlPr>
                          <w:rPr>
                            <w:rFonts w:ascii="Cambria Math" w:hAnsi="Cambria Math"/>
                            <w:i/>
                          </w:rPr>
                        </m:ctrlPr>
                      </m:e>
                      <m:sub>
                        <m:r>
                          <m:rPr/>
                          <w:rPr>
                            <w:rFonts w:hint="eastAsia" w:ascii="Cambria Math" w:hAnsi="Cambria Math"/>
                          </w:rPr>
                          <m:t>1</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hint="eastAsia" w:ascii="Cambria Math" w:hAnsi="Cambria Math"/>
                          </w:rPr>
                          <m:t>P</m:t>
                        </m:r>
                        <m:ctrlPr>
                          <w:rPr>
                            <w:rFonts w:ascii="Cambria Math" w:hAnsi="Cambria Math"/>
                            <w:i/>
                          </w:rPr>
                        </m:ctrlPr>
                      </m:e>
                      <m:sub>
                        <m:r>
                          <m:rPr/>
                          <w:rPr>
                            <w:rFonts w:hint="eastAsia" w:ascii="Cambria Math" w:hAnsi="Cambria Math"/>
                          </w:rPr>
                          <m:t>2</m:t>
                        </m:r>
                        <m:ctrlPr>
                          <w:rPr>
                            <w:rFonts w:ascii="Cambria Math" w:hAnsi="Cambria Math"/>
                            <w:i/>
                          </w:rPr>
                        </m:ctrlPr>
                      </m:sub>
                    </m:sSub>
                    <m:ctrlPr>
                      <w:rPr>
                        <w:rFonts w:ascii="Cambria Math" w:hAnsi="Cambria Math"/>
                        <w:i/>
                      </w:rPr>
                    </m:ctrlPr>
                  </m:num>
                  <m:den>
                    <m:sSub>
                      <m:sSubPr>
                        <m:ctrlPr>
                          <w:rPr>
                            <w:rFonts w:ascii="Cambria Math" w:hAnsi="Cambria Math"/>
                            <w:i/>
                          </w:rPr>
                        </m:ctrlPr>
                      </m:sSubPr>
                      <m:e>
                        <m:r>
                          <m:rPr/>
                          <w:rPr>
                            <w:rFonts w:ascii="Cambria Math" w:hAnsi="Cambria Math"/>
                          </w:rPr>
                          <m:t>δ</m:t>
                        </m:r>
                        <m:ctrlPr>
                          <w:rPr>
                            <w:rFonts w:ascii="Cambria Math" w:hAnsi="Cambria Math"/>
                            <w:i/>
                          </w:rPr>
                        </m:ctrlPr>
                      </m:e>
                      <m:sub>
                        <m:r>
                          <m:rPr/>
                          <w:rPr>
                            <w:rFonts w:hint="eastAsia" w:ascii="Cambria Math" w:hAnsi="Cambria Math"/>
                          </w:rPr>
                          <m:t>1</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δ</m:t>
                        </m:r>
                        <m:ctrlPr>
                          <w:rPr>
                            <w:rFonts w:ascii="Cambria Math" w:hAnsi="Cambria Math"/>
                            <w:i/>
                          </w:rPr>
                        </m:ctrlPr>
                      </m:e>
                      <m:sub>
                        <m:r>
                          <m:rPr/>
                          <w:rPr>
                            <w:rFonts w:hint="eastAsia" w:ascii="Cambria Math" w:hAnsi="Cambria Math"/>
                          </w:rPr>
                          <m:t>2</m:t>
                        </m:r>
                        <m:ctrlPr>
                          <w:rPr>
                            <w:rFonts w:ascii="Cambria Math" w:hAnsi="Cambria Math"/>
                            <w:i/>
                          </w:rPr>
                        </m:ctrlPr>
                      </m:sub>
                    </m:sSub>
                    <m:ctrlPr>
                      <w:rPr>
                        <w:rFonts w:ascii="Cambria Math" w:hAnsi="Cambria Math"/>
                        <w:i/>
                      </w:rPr>
                    </m:ctrlPr>
                  </m:den>
                </m:f>
                <m:r>
                  <m:rPr/>
                  <w:rPr>
                    <w:rFonts w:hint="eastAsia" w:ascii="Cambria Math" w:hAnsi="Cambria Math"/>
                  </w:rPr>
                  <m:t xml:space="preserve">               </m:t>
                </m:r>
                <m:r>
                  <m:rPr/>
                  <w:rPr>
                    <w:rFonts w:ascii="Cambria Math" w:hAnsi="Cambria Math"/>
                  </w:rPr>
                  <m:t xml:space="preserve">  </m:t>
                </m:r>
                <m:r>
                  <m:rPr/>
                  <w:rPr>
                    <w:rFonts w:hint="eastAsia" w:ascii="Cambria Math" w:hAnsi="Cambria Math"/>
                  </w:rPr>
                  <m:t xml:space="preserve">           </m:t>
                </m:r>
                <m:r>
                  <m:rPr/>
                  <w:rPr>
                    <w:rFonts w:ascii="Cambria Math" w:hAnsi="Cambria Math" w:cs="Times New Roman"/>
                    <w:lang w:val="de-DE"/>
                  </w:rPr>
                  <m:t>⋯⋯⋯⋯⋯⋯⋯⋯⋯⋯</m:t>
                </m:r>
                <m:r>
                  <m:rPr/>
                  <w:rPr>
                    <w:rFonts w:hint="eastAsia" w:ascii="Cambria Math" w:hAnsi="Cambria Math"/>
                  </w:rPr>
                  <m:t>(1)</m:t>
                </m:r>
              </m:oMath>
            </m:oMathPara>
          </w:p>
          <w:p w14:paraId="704EC2AF">
            <w:pPr>
              <w:pStyle w:val="72"/>
              <w:ind w:firstLine="363" w:firstLineChars="202"/>
              <w:rPr>
                <w:rFonts w:cs="Times New Roman"/>
                <w:sz w:val="18"/>
                <w:szCs w:val="18"/>
              </w:rPr>
            </w:pPr>
            <w:r>
              <w:rPr>
                <w:rFonts w:hint="eastAsia"/>
                <w:sz w:val="18"/>
                <w:szCs w:val="18"/>
              </w:rPr>
              <w:t>式中：</w:t>
            </w:r>
          </w:p>
          <w:p w14:paraId="188FB7D3">
            <w:pPr>
              <w:pStyle w:val="72"/>
              <w:ind w:firstLine="424" w:firstLineChars="202"/>
              <w:rPr>
                <w:rFonts w:cs="Times New Roman"/>
              </w:rPr>
            </w:pPr>
            <m:oMath>
              <m:sSub>
                <m:sSubPr>
                  <m:ctrlPr>
                    <w:rPr>
                      <w:rFonts w:ascii="Cambria Math" w:hAnsi="Cambria Math"/>
                      <w:u w:val="single"/>
                    </w:rPr>
                  </m:ctrlPr>
                </m:sSubPr>
                <m:e>
                  <m:r>
                    <m:rPr/>
                    <w:rPr>
                      <w:rFonts w:ascii="Cambria Math" w:hAnsi="Cambria Math"/>
                      <w:u w:val="single"/>
                    </w:rPr>
                    <m:t>σ</m:t>
                  </m:r>
                  <m:ctrlPr>
                    <w:rPr>
                      <w:rFonts w:ascii="Cambria Math" w:hAnsi="Cambria Math"/>
                      <w:u w:val="single"/>
                    </w:rPr>
                  </m:ctrlPr>
                </m:e>
                <m:sub>
                  <m:r>
                    <m:rPr/>
                    <w:rPr>
                      <w:rFonts w:ascii="Cambria Math" w:hAnsi="Cambria Math"/>
                      <w:u w:val="single"/>
                    </w:rPr>
                    <m:t>0</m:t>
                  </m:r>
                  <m:ctrlPr>
                    <w:rPr>
                      <w:rFonts w:ascii="Cambria Math" w:hAnsi="Cambria Math"/>
                      <w:u w:val="single"/>
                    </w:rPr>
                  </m:ctrlPr>
                </m:sub>
              </m:sSub>
            </m:oMath>
            <w:r>
              <w:rPr>
                <w:u w:val="single"/>
              </w:rPr>
              <w:t>——</w:t>
            </w:r>
            <w:r>
              <w:rPr>
                <w:rFonts w:hint="eastAsia"/>
                <w:u w:val="single"/>
              </w:rPr>
              <w:t>产品的设计轴压应力（MPa）；</w:t>
            </w:r>
          </w:p>
          <w:p w14:paraId="5C8BE40E">
            <w:pPr>
              <w:pStyle w:val="72"/>
              <w:ind w:firstLine="424" w:firstLineChars="202"/>
              <w:rPr>
                <w:rFonts w:cs="Times New Roman"/>
              </w:rPr>
            </w:pPr>
            <w:r>
              <w:rPr>
                <w:rFonts w:ascii="Cambria Math" w:hAnsi="Cambria Math"/>
                <w:i/>
              </w:rPr>
              <w:t>K</w:t>
            </w:r>
            <w:r>
              <w:rPr>
                <w:rFonts w:ascii="Cambria Math" w:hAnsi="Cambria Math"/>
                <w:vertAlign w:val="subscript"/>
              </w:rPr>
              <w:t>v</w:t>
            </w:r>
            <w:r>
              <w:t>——</w:t>
            </w:r>
            <w:r>
              <w:rPr>
                <w:rFonts w:hint="eastAsia"/>
              </w:rPr>
              <w:t>建筑隔震橡胶支座竖向刚度（kN</w:t>
            </w:r>
            <w:r>
              <w:rPr>
                <w:rFonts w:hint="eastAsia"/>
                <w:u w:val="single"/>
              </w:rPr>
              <w:t>/mm</w:t>
            </w:r>
            <w:r>
              <w:rPr>
                <w:rFonts w:hint="eastAsia"/>
              </w:rPr>
              <w:t>）；</w:t>
            </w:r>
          </w:p>
          <w:p w14:paraId="7DB8D515">
            <w:pPr>
              <w:pStyle w:val="72"/>
              <w:ind w:firstLine="424" w:firstLineChars="202"/>
              <w:rPr>
                <w:rFonts w:cs="Times New Roman"/>
              </w:rPr>
            </w:pPr>
            <m:oMath>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1</m:t>
                  </m:r>
                  <m:ctrlPr>
                    <w:rPr>
                      <w:rFonts w:ascii="Cambria Math" w:hAnsi="Cambria Math"/>
                    </w:rPr>
                  </m:ctrlPr>
                </m:sub>
              </m:sSub>
            </m:oMath>
            <w:r>
              <w:t>——</w:t>
            </w:r>
            <w:r>
              <w:rPr>
                <w:rFonts w:hint="eastAsia"/>
              </w:rPr>
              <w:t>平均压应力为</w:t>
            </w:r>
            <w:r>
              <w:t>1.3</w:t>
            </w:r>
            <m:oMath>
              <m:sSub>
                <m:sSubPr>
                  <m:ctrlPr>
                    <w:rPr>
                      <w:rFonts w:ascii="Cambria Math" w:hAnsi="Cambria Math"/>
                    </w:rPr>
                  </m:ctrlPr>
                </m:sSubPr>
                <m:e>
                  <m:r>
                    <m:rPr/>
                    <w:rPr>
                      <w:rFonts w:ascii="Cambria Math" w:hAnsi="Cambria Math"/>
                    </w:rPr>
                    <m:t>σ</m:t>
                  </m:r>
                  <m:ctrlPr>
                    <w:rPr>
                      <w:rFonts w:ascii="Cambria Math" w:hAnsi="Cambria Math"/>
                    </w:rPr>
                  </m:ctrlPr>
                </m:e>
                <m:sub>
                  <m:r>
                    <m:rPr/>
                    <w:rPr>
                      <w:rFonts w:ascii="Cambria Math" w:hAnsi="Cambria Math"/>
                    </w:rPr>
                    <m:t>0</m:t>
                  </m:r>
                  <m:ctrlPr>
                    <w:rPr>
                      <w:rFonts w:ascii="Cambria Math" w:hAnsi="Cambria Math"/>
                    </w:rPr>
                  </m:ctrlPr>
                </m:sub>
              </m:sSub>
            </m:oMath>
            <w:r>
              <w:rPr>
                <w:rFonts w:hint="eastAsia"/>
              </w:rPr>
              <w:t>时的竖向荷载（kN）；</w:t>
            </w:r>
          </w:p>
          <w:p w14:paraId="36D38B54">
            <w:pPr>
              <w:pStyle w:val="72"/>
              <w:ind w:firstLine="409" w:firstLineChars="195"/>
              <w:rPr>
                <w:rFonts w:cs="Times New Roman"/>
              </w:rPr>
            </w:pPr>
            <m:oMath>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2</m:t>
                  </m:r>
                  <m:ctrlPr>
                    <w:rPr>
                      <w:rFonts w:ascii="Cambria Math" w:hAnsi="Cambria Math"/>
                    </w:rPr>
                  </m:ctrlPr>
                </m:sub>
              </m:sSub>
            </m:oMath>
            <w:r>
              <w:rPr>
                <w:vertAlign w:val="subscript"/>
              </w:rPr>
              <w:t xml:space="preserve"> </w:t>
            </w:r>
            <w:r>
              <w:t>——</w:t>
            </w:r>
            <w:r>
              <w:rPr>
                <w:rFonts w:hint="eastAsia"/>
              </w:rPr>
              <w:t>平均压应力为</w:t>
            </w:r>
            <w:r>
              <w:t>0.7</w:t>
            </w:r>
            <m:oMath>
              <m:sSub>
                <m:sSubPr>
                  <m:ctrlPr>
                    <w:rPr>
                      <w:rFonts w:ascii="Cambria Math" w:hAnsi="Cambria Math"/>
                    </w:rPr>
                  </m:ctrlPr>
                </m:sSubPr>
                <m:e>
                  <m:r>
                    <m:rPr/>
                    <w:rPr>
                      <w:rFonts w:ascii="Cambria Math" w:hAnsi="Cambria Math"/>
                    </w:rPr>
                    <m:t>σ</m:t>
                  </m:r>
                  <m:ctrlPr>
                    <w:rPr>
                      <w:rFonts w:ascii="Cambria Math" w:hAnsi="Cambria Math"/>
                    </w:rPr>
                  </m:ctrlPr>
                </m:e>
                <m:sub>
                  <m:r>
                    <m:rPr/>
                    <w:rPr>
                      <w:rFonts w:ascii="Cambria Math" w:hAnsi="Cambria Math"/>
                    </w:rPr>
                    <m:t>0</m:t>
                  </m:r>
                  <m:ctrlPr>
                    <w:rPr>
                      <w:rFonts w:ascii="Cambria Math" w:hAnsi="Cambria Math"/>
                    </w:rPr>
                  </m:ctrlPr>
                </m:sub>
              </m:sSub>
            </m:oMath>
            <w:r>
              <w:rPr>
                <w:rFonts w:hint="eastAsia"/>
              </w:rPr>
              <w:t>时的竖向荷载（kN）；</w:t>
            </w:r>
          </w:p>
          <w:p w14:paraId="6C94E35D">
            <w:pPr>
              <w:pStyle w:val="72"/>
              <w:ind w:firstLine="424" w:firstLineChars="202"/>
              <w:rPr>
                <w:rFonts w:cs="Times New Roman"/>
              </w:rPr>
            </w:pPr>
            <m:oMath>
              <m:sSub>
                <m:sSubPr>
                  <m:ctrlPr>
                    <w:rPr>
                      <w:rFonts w:ascii="Cambria Math" w:hAnsi="Cambria Math"/>
                    </w:rPr>
                  </m:ctrlPr>
                </m:sSubPr>
                <m:e>
                  <m:r>
                    <m:rPr/>
                    <w:rPr>
                      <w:rFonts w:ascii="Cambria Math" w:hAnsi="Cambria Math"/>
                    </w:rPr>
                    <m:t>δ</m:t>
                  </m:r>
                  <m:ctrlPr>
                    <w:rPr>
                      <w:rFonts w:ascii="Cambria Math" w:hAnsi="Cambria Math"/>
                    </w:rPr>
                  </m:ctrlPr>
                </m:e>
                <m:sub>
                  <m:r>
                    <m:rPr/>
                    <w:rPr>
                      <w:rFonts w:ascii="Cambria Math" w:hAnsi="Cambria Math"/>
                    </w:rPr>
                    <m:t>1</m:t>
                  </m:r>
                  <m:ctrlPr>
                    <w:rPr>
                      <w:rFonts w:ascii="Cambria Math" w:hAnsi="Cambria Math"/>
                    </w:rPr>
                  </m:ctrlPr>
                </m:sub>
              </m:sSub>
            </m:oMath>
            <w:r>
              <w:t>——</w:t>
            </w:r>
            <w:r>
              <w:rPr>
                <w:rFonts w:hint="eastAsia"/>
              </w:rPr>
              <w:t>竖向荷载为</w:t>
            </w:r>
            <w:r>
              <w:t>P</w:t>
            </w:r>
            <w:r>
              <w:rPr>
                <w:vertAlign w:val="subscript"/>
              </w:rPr>
              <w:t>1</w:t>
            </w:r>
            <w:r>
              <w:rPr>
                <w:rFonts w:hint="eastAsia"/>
              </w:rPr>
              <w:t>时的竖向位移（m</w:t>
            </w:r>
            <w:r>
              <w:rPr>
                <w:rFonts w:hint="eastAsia"/>
                <w:u w:val="single"/>
              </w:rPr>
              <w:t>m</w:t>
            </w:r>
            <w:r>
              <w:rPr>
                <w:rFonts w:hint="eastAsia"/>
              </w:rPr>
              <w:t>）；</w:t>
            </w:r>
          </w:p>
          <w:p w14:paraId="26E35C6D">
            <w:pPr>
              <w:pStyle w:val="72"/>
              <w:ind w:firstLine="0" w:firstLineChars="0"/>
              <w:jc w:val="left"/>
            </w:pPr>
            <m:oMath>
              <m:sSub>
                <m:sSubPr>
                  <m:ctrlPr>
                    <w:rPr>
                      <w:rFonts w:ascii="Cambria Math" w:hAnsi="Cambria Math"/>
                    </w:rPr>
                  </m:ctrlPr>
                </m:sSubPr>
                <m:e>
                  <m:r>
                    <m:rPr/>
                    <w:rPr>
                      <w:rFonts w:ascii="Cambria Math" w:hAnsi="Cambria Math"/>
                    </w:rPr>
                    <m:t>δ</m:t>
                  </m:r>
                  <m:ctrlPr>
                    <w:rPr>
                      <w:rFonts w:ascii="Cambria Math" w:hAnsi="Cambria Math"/>
                    </w:rPr>
                  </m:ctrlPr>
                </m:e>
                <m:sub>
                  <m:r>
                    <m:rPr/>
                    <w:rPr>
                      <w:rFonts w:ascii="Cambria Math" w:hAnsi="Cambria Math"/>
                    </w:rPr>
                    <m:t>2</m:t>
                  </m:r>
                  <m:ctrlPr>
                    <w:rPr>
                      <w:rFonts w:ascii="Cambria Math" w:hAnsi="Cambria Math"/>
                    </w:rPr>
                  </m:ctrlPr>
                </m:sub>
              </m:sSub>
            </m:oMath>
            <w:r>
              <w:t>——</w:t>
            </w:r>
            <w:r>
              <w:rPr>
                <w:rFonts w:hint="eastAsia"/>
              </w:rPr>
              <w:t>竖向荷载为</w:t>
            </w:r>
            <w:r>
              <w:t>P</w:t>
            </w:r>
            <w:r>
              <w:rPr>
                <w:vertAlign w:val="subscript"/>
              </w:rPr>
              <w:t>2</w:t>
            </w:r>
            <w:r>
              <w:rPr>
                <w:rFonts w:hint="eastAsia"/>
              </w:rPr>
              <w:t>时的竖向位移（m</w:t>
            </w:r>
            <w:r>
              <w:rPr>
                <w:rFonts w:hint="eastAsia"/>
                <w:u w:val="single"/>
              </w:rPr>
              <w:t>m</w:t>
            </w:r>
            <w:r>
              <w:rPr>
                <w:rFonts w:hint="eastAsia"/>
              </w:rPr>
              <w:t>）。</w:t>
            </w:r>
          </w:p>
        </w:tc>
      </w:tr>
      <w:tr w14:paraId="261DF7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4C699FAD">
            <w:pPr>
              <w:pStyle w:val="74"/>
              <w:numPr>
                <w:ilvl w:val="3"/>
                <w:numId w:val="0"/>
              </w:numPr>
              <w:rPr>
                <w:rFonts w:hint="eastAsia" w:ascii="黑体" w:hAnsi="黑体"/>
              </w:rPr>
            </w:pPr>
            <w:r>
              <w:rPr>
                <w:rFonts w:hint="eastAsia" w:ascii="黑体" w:hAnsi="黑体"/>
              </w:rPr>
              <w:t>7.4.2 压缩变形</w:t>
            </w:r>
            <w:r>
              <w:rPr>
                <w:rFonts w:ascii="黑体" w:hAnsi="黑体"/>
              </w:rPr>
              <w:t>性能</w:t>
            </w:r>
          </w:p>
          <w:p w14:paraId="0B1F8DE3">
            <w:pPr>
              <w:pStyle w:val="72"/>
              <w:ind w:firstLine="424" w:firstLineChars="202"/>
              <w:rPr>
                <w:rFonts w:ascii="Cambria Math" w:hAnsi="Cambria Math"/>
                <w:oMath/>
              </w:rPr>
            </w:pPr>
            <w:r>
              <w:rPr>
                <w:rFonts w:hint="eastAsia"/>
              </w:rPr>
              <w:t>取与轴压应力（</w:t>
            </w:r>
            <w:r>
              <w:t>1</w:t>
            </w:r>
            <w:r>
              <w:rPr>
                <w:rFonts w:hint="eastAsia"/>
              </w:rPr>
              <w:t>±</w:t>
            </w:r>
            <w:r>
              <w:t>30%</w:t>
            </w:r>
            <w:r>
              <w:rPr>
                <w:rFonts w:hint="eastAsia"/>
              </w:rPr>
              <w:t>）</w:t>
            </w:r>
            <m:oMath>
              <m:sSub>
                <m:sSubPr>
                  <m:ctrlPr>
                    <w:rPr>
                      <w:rFonts w:ascii="Cambria Math" w:hAnsi="Cambria Math"/>
                    </w:rPr>
                  </m:ctrlPr>
                </m:sSubPr>
                <m:e>
                  <m:r>
                    <m:rPr/>
                    <w:rPr>
                      <w:rFonts w:ascii="Cambria Math" w:hAnsi="Cambria Math"/>
                    </w:rPr>
                    <m:t>σ</m:t>
                  </m:r>
                  <m:ctrlPr>
                    <w:rPr>
                      <w:rFonts w:ascii="Cambria Math" w:hAnsi="Cambria Math"/>
                    </w:rPr>
                  </m:ctrlPr>
                </m:e>
                <m:sub>
                  <m:r>
                    <m:rPr/>
                    <w:rPr>
                      <w:rFonts w:ascii="Cambria Math" w:hAnsi="Cambria Math"/>
                    </w:rPr>
                    <m:t>0</m:t>
                  </m:r>
                  <m:ctrlPr>
                    <w:rPr>
                      <w:rFonts w:ascii="Cambria Math" w:hAnsi="Cambria Math"/>
                    </w:rPr>
                  </m:ctrlPr>
                </m:sub>
              </m:sSub>
            </m:oMath>
            <w:r>
              <w:rPr>
                <w:rFonts w:hint="eastAsia"/>
              </w:rPr>
              <w:t>相应的竖向荷载，</w:t>
            </w:r>
            <w:r>
              <w:t>3</w:t>
            </w:r>
            <w:r>
              <w:rPr>
                <w:rFonts w:hint="eastAsia"/>
              </w:rPr>
              <w:t>次往复加载，绘出竖向荷载与竖向位移关系曲线，</w:t>
            </w:r>
            <w:r>
              <w:t>荷载位移曲线应无异常</w:t>
            </w:r>
            <w:r>
              <w:rPr>
                <w:rFonts w:hint="eastAsia"/>
              </w:rPr>
              <w:t>。</w:t>
            </w:r>
          </w:p>
        </w:tc>
        <w:tc>
          <w:tcPr>
            <w:tcW w:w="5126" w:type="dxa"/>
          </w:tcPr>
          <w:p w14:paraId="5492EF5E">
            <w:pPr>
              <w:pStyle w:val="74"/>
              <w:numPr>
                <w:ilvl w:val="3"/>
                <w:numId w:val="0"/>
              </w:numPr>
              <w:rPr>
                <w:rFonts w:hint="eastAsia" w:ascii="黑体" w:hAnsi="黑体"/>
                <w:bdr w:val="single" w:color="auto" w:sz="2" w:space="0"/>
              </w:rPr>
            </w:pPr>
            <w:r>
              <w:rPr>
                <w:rFonts w:hint="eastAsia" w:ascii="黑体" w:hAnsi="黑体"/>
                <w:bdr w:val="single" w:color="auto" w:sz="2" w:space="0"/>
              </w:rPr>
              <w:t>7.4.2 压缩变形</w:t>
            </w:r>
            <w:r>
              <w:rPr>
                <w:rFonts w:ascii="黑体" w:hAnsi="黑体"/>
                <w:bdr w:val="single" w:color="auto" w:sz="2" w:space="0"/>
              </w:rPr>
              <w:t>性能</w:t>
            </w:r>
          </w:p>
          <w:p w14:paraId="23F5C1F1">
            <w:pPr>
              <w:pStyle w:val="72"/>
              <w:ind w:firstLine="424" w:firstLineChars="202"/>
              <w:rPr>
                <w:rFonts w:ascii="Cambria Math" w:hAnsi="Cambria Math"/>
                <w:oMath/>
              </w:rPr>
            </w:pPr>
            <w:r>
              <w:rPr>
                <w:rFonts w:hint="eastAsia"/>
                <w:bdr w:val="single" w:color="auto" w:sz="2" w:space="0"/>
              </w:rPr>
              <w:t>取与轴压应力（</w:t>
            </w:r>
            <w:r>
              <w:rPr>
                <w:bdr w:val="single" w:color="auto" w:sz="2" w:space="0"/>
              </w:rPr>
              <w:t>1</w:t>
            </w:r>
            <w:r>
              <w:rPr>
                <w:rFonts w:hint="eastAsia"/>
                <w:bdr w:val="single" w:color="auto" w:sz="2" w:space="0"/>
              </w:rPr>
              <w:t>±</w:t>
            </w:r>
            <w:r>
              <w:rPr>
                <w:bdr w:val="single" w:color="auto" w:sz="2" w:space="0"/>
              </w:rPr>
              <w:t>30%</w:t>
            </w:r>
            <w:r>
              <w:rPr>
                <w:rFonts w:hint="eastAsia"/>
                <w:bdr w:val="single" w:color="auto" w:sz="2" w:space="0"/>
              </w:rPr>
              <w:t>）</w:t>
            </w:r>
            <m:oMath>
              <m:sSub>
                <m:sSubPr>
                  <m:ctrlPr>
                    <w:rPr>
                      <w:rFonts w:ascii="Cambria Math" w:hAnsi="Cambria Math"/>
                      <w:bdr w:val="single" w:color="auto" w:sz="2" w:space="0"/>
                    </w:rPr>
                  </m:ctrlPr>
                </m:sSubPr>
                <m:e>
                  <m:r>
                    <m:rPr/>
                    <w:rPr>
                      <w:rFonts w:ascii="Cambria Math" w:hAnsi="Cambria Math"/>
                      <w:bdr w:val="single" w:color="auto" w:sz="2" w:space="0"/>
                    </w:rPr>
                    <m:t>σ</m:t>
                  </m:r>
                  <m:ctrlPr>
                    <w:rPr>
                      <w:rFonts w:ascii="Cambria Math" w:hAnsi="Cambria Math"/>
                      <w:bdr w:val="single" w:color="auto" w:sz="2" w:space="0"/>
                    </w:rPr>
                  </m:ctrlPr>
                </m:e>
                <m:sub>
                  <m:r>
                    <m:rPr/>
                    <w:rPr>
                      <w:rFonts w:ascii="Cambria Math" w:hAnsi="Cambria Math"/>
                      <w:bdr w:val="single" w:color="auto" w:sz="2" w:space="0"/>
                    </w:rPr>
                    <m:t>0</m:t>
                  </m:r>
                  <m:ctrlPr>
                    <w:rPr>
                      <w:rFonts w:ascii="Cambria Math" w:hAnsi="Cambria Math"/>
                      <w:bdr w:val="single" w:color="auto" w:sz="2" w:space="0"/>
                    </w:rPr>
                  </m:ctrlPr>
                </m:sub>
              </m:sSub>
            </m:oMath>
            <w:r>
              <w:rPr>
                <w:rFonts w:hint="eastAsia"/>
                <w:bdr w:val="single" w:color="auto" w:sz="2" w:space="0"/>
              </w:rPr>
              <w:t>相应的竖向荷载，</w:t>
            </w:r>
            <w:r>
              <w:rPr>
                <w:bdr w:val="single" w:color="auto" w:sz="2" w:space="0"/>
              </w:rPr>
              <w:t>3</w:t>
            </w:r>
            <w:r>
              <w:rPr>
                <w:rFonts w:hint="eastAsia"/>
                <w:bdr w:val="single" w:color="auto" w:sz="2" w:space="0"/>
              </w:rPr>
              <w:t>次往复加载，绘出竖向荷载与竖向位移关系曲线，</w:t>
            </w:r>
            <w:r>
              <w:rPr>
                <w:bdr w:val="single" w:color="auto" w:sz="2" w:space="0"/>
              </w:rPr>
              <w:t>荷载位移曲线应无异常</w:t>
            </w:r>
            <w:r>
              <w:rPr>
                <w:rFonts w:hint="eastAsia"/>
                <w:bdr w:val="single" w:color="auto" w:sz="2" w:space="0"/>
              </w:rPr>
              <w:t>。</w:t>
            </w:r>
          </w:p>
        </w:tc>
      </w:tr>
      <w:tr w14:paraId="0B9200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66A8A40C">
            <w:pPr>
              <w:pStyle w:val="74"/>
              <w:numPr>
                <w:ilvl w:val="3"/>
                <w:numId w:val="0"/>
              </w:numPr>
              <w:rPr>
                <w:rFonts w:hint="eastAsia" w:ascii="黑体" w:hAnsi="黑体"/>
              </w:rPr>
            </w:pPr>
            <w:r>
              <w:rPr>
                <w:rFonts w:hint="eastAsia" w:ascii="黑体" w:hAnsi="黑体"/>
              </w:rPr>
              <w:t>7.4.3竖向极限压应力</w:t>
            </w:r>
          </w:p>
          <w:p w14:paraId="6EAA4FB3">
            <w:pPr>
              <w:pStyle w:val="72"/>
              <w:ind w:firstLine="420"/>
              <w:rPr>
                <w:rFonts w:ascii="Cambria Math" w:hAnsi="Cambria Math"/>
                <w:oMath/>
              </w:rPr>
            </w:pPr>
            <w:r>
              <w:rPr>
                <w:rFonts w:hint="eastAsia"/>
              </w:rPr>
              <w:t>向支座施加轴向压力，缓慢或分级加载</w:t>
            </w:r>
            <w:r>
              <w:t>,</w:t>
            </w:r>
            <w:r>
              <w:rPr>
                <w:rFonts w:hint="eastAsia"/>
              </w:rPr>
              <w:t>直至破坏。同时绘出竖向荷载和竖向位移曲线，根据曲线的变形趋势确定破坏时的荷载和压应力。</w:t>
            </w:r>
          </w:p>
        </w:tc>
        <w:tc>
          <w:tcPr>
            <w:tcW w:w="5126" w:type="dxa"/>
          </w:tcPr>
          <w:p w14:paraId="16C08316">
            <w:pPr>
              <w:pStyle w:val="74"/>
              <w:numPr>
                <w:ilvl w:val="3"/>
                <w:numId w:val="0"/>
              </w:numPr>
              <w:rPr>
                <w:rFonts w:hint="eastAsia" w:ascii="黑体" w:hAnsi="黑体"/>
              </w:rPr>
            </w:pPr>
            <w:r>
              <w:rPr>
                <w:rFonts w:hint="eastAsia" w:ascii="黑体" w:hAnsi="黑体"/>
              </w:rPr>
              <w:t>7.4.3竖向极限压应力</w:t>
            </w:r>
          </w:p>
          <w:p w14:paraId="72719C9C">
            <w:pPr>
              <w:pStyle w:val="72"/>
              <w:ind w:firstLine="420"/>
              <w:rPr>
                <w:rFonts w:ascii="Cambria Math" w:hAnsi="Cambria Math"/>
                <w:oMath/>
              </w:rPr>
            </w:pPr>
            <w:r>
              <w:rPr>
                <w:rFonts w:hint="eastAsia"/>
                <w:bdr w:val="single" w:color="auto" w:sz="2" w:space="0"/>
              </w:rPr>
              <w:t>向</w:t>
            </w:r>
            <w:r>
              <w:rPr>
                <w:rFonts w:hint="eastAsia"/>
                <w:u w:val="single"/>
              </w:rPr>
              <w:t>对</w:t>
            </w:r>
            <w:r>
              <w:rPr>
                <w:rFonts w:hint="eastAsia"/>
              </w:rPr>
              <w:t>支座施加轴向压力，缓慢或分级加载</w:t>
            </w:r>
            <w:r>
              <w:t>,</w:t>
            </w:r>
            <w:r>
              <w:rPr>
                <w:rFonts w:hint="eastAsia"/>
              </w:rPr>
              <w:t>直至破坏。同时绘出竖向荷载和竖向位移曲线，根据曲线的变形趋势确定破坏时的荷载和压应力。</w:t>
            </w:r>
          </w:p>
        </w:tc>
      </w:tr>
      <w:tr w14:paraId="38B6B1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tcPr>
          <w:p w14:paraId="7B303420">
            <w:pPr>
              <w:pStyle w:val="74"/>
              <w:numPr>
                <w:ilvl w:val="3"/>
                <w:numId w:val="0"/>
              </w:numPr>
              <w:jc w:val="both"/>
              <w:rPr>
                <w:rFonts w:hint="eastAsia" w:ascii="黑体" w:hAnsi="黑体"/>
              </w:rPr>
            </w:pPr>
            <w:r>
              <w:rPr>
                <w:rFonts w:hint="eastAsia" w:ascii="黑体" w:hAnsi="黑体"/>
              </w:rPr>
              <w:t>7.4.4 水平位移为支座内部橡胶直径</w:t>
            </w:r>
            <w:r>
              <w:rPr>
                <w:rFonts w:ascii="黑体" w:hAnsi="黑体"/>
              </w:rPr>
              <w:t>0.55</w:t>
            </w:r>
            <w:r>
              <w:rPr>
                <w:rFonts w:hint="eastAsia" w:ascii="黑体" w:hAnsi="黑体"/>
              </w:rPr>
              <w:t>倍状态时的极限压应力</w:t>
            </w:r>
          </w:p>
          <w:p w14:paraId="034C9C93">
            <w:pPr>
              <w:pStyle w:val="72"/>
              <w:ind w:firstLine="420"/>
            </w:pPr>
            <w:r>
              <w:rPr>
                <w:rFonts w:hint="eastAsia"/>
              </w:rPr>
              <w:t>向支座施加设计轴压应力，然后施加水平荷载，使支座处于水平位移为支座内部橡胶直径</w:t>
            </w:r>
            <w:r>
              <w:t>0.55</w:t>
            </w:r>
            <w:r>
              <w:rPr>
                <w:rFonts w:hint="eastAsia"/>
              </w:rPr>
              <w:t>倍的剪切变形状态，再继续缓慢或分级竖向加载，记录竖向荷载和水平刚度</w:t>
            </w:r>
            <w:r>
              <w:t>,</w:t>
            </w:r>
            <w:r>
              <w:rPr>
                <w:rFonts w:hint="eastAsia"/>
              </w:rPr>
              <w:t>往复循环加载各一次。当支座外观发生明显异常或水平刚度趋于</w:t>
            </w:r>
            <w:r>
              <w:t>0</w:t>
            </w:r>
            <w:r>
              <w:rPr>
                <w:rFonts w:hint="eastAsia"/>
              </w:rPr>
              <w:t>时，视为破坏。</w:t>
            </w:r>
          </w:p>
        </w:tc>
        <w:tc>
          <w:tcPr>
            <w:tcW w:w="5126" w:type="dxa"/>
          </w:tcPr>
          <w:p w14:paraId="2D1F6B13">
            <w:pPr>
              <w:pStyle w:val="74"/>
              <w:numPr>
                <w:ilvl w:val="3"/>
                <w:numId w:val="0"/>
              </w:numPr>
              <w:rPr>
                <w:rFonts w:hint="eastAsia" w:ascii="黑体" w:hAnsi="黑体"/>
              </w:rPr>
            </w:pPr>
            <w:r>
              <w:rPr>
                <w:rFonts w:hint="eastAsia" w:ascii="黑体" w:hAnsi="黑体"/>
              </w:rPr>
              <w:t>7.4.4 水平位移为支座内部橡胶直径</w:t>
            </w:r>
            <w:r>
              <w:rPr>
                <w:rFonts w:ascii="黑体" w:hAnsi="黑体"/>
              </w:rPr>
              <w:t>0.55</w:t>
            </w:r>
            <w:r>
              <w:rPr>
                <w:rFonts w:hint="eastAsia" w:ascii="黑体" w:hAnsi="黑体"/>
              </w:rPr>
              <w:t>倍状态时的极限压应力</w:t>
            </w:r>
          </w:p>
          <w:p w14:paraId="295B902C">
            <w:pPr>
              <w:pStyle w:val="72"/>
              <w:ind w:firstLine="420"/>
              <w:rPr>
                <w:bdr w:val="single" w:color="auto" w:sz="2" w:space="0"/>
              </w:rPr>
            </w:pPr>
            <w:r>
              <w:rPr>
                <w:rFonts w:hint="eastAsia"/>
                <w:bdr w:val="single" w:color="auto" w:sz="2" w:space="0"/>
              </w:rPr>
              <w:t>向</w:t>
            </w:r>
            <w:r>
              <w:rPr>
                <w:rFonts w:hint="eastAsia"/>
                <w:u w:val="single"/>
              </w:rPr>
              <w:t>对</w:t>
            </w:r>
            <w:r>
              <w:rPr>
                <w:rFonts w:hint="eastAsia"/>
              </w:rPr>
              <w:t>支座施加设计轴压应力</w:t>
            </w:r>
            <w:r>
              <w:rPr>
                <w:u w:val="single"/>
              </w:rPr>
              <w:fldChar w:fldCharType="begin"/>
            </w:r>
            <w:r>
              <w:rPr>
                <w:u w:val="single"/>
              </w:rPr>
              <w:instrText xml:space="preserve"> QUOTE </w:instrText>
            </w:r>
            <w:r>
              <w:rPr>
                <w:u w:val="single"/>
              </w:rPr>
              <w:pict>
                <v:shape id="_x0000_i1025" o:spt="75" type="#_x0000_t75" style="height:14.5pt;width:13.5pt;" filled="f" o:preferrelative="t" stroked="f" coordsize="21600,21600"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bordersDontSurroundHeader/&gt;&lt;w:bordersDontSurroundFooter/&gt;&lt;w:defaultTabStop w:val=&quot;420&quot;/&gt;&lt;w:doNotHyphenateCaps/&gt;&lt;w:evenAndOddHeaders/&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noLineBreaksAfter w:lang=&quot;ZH-CN&quot; w:val=&quot;$([{拢楼路鈥樷€?erticerticerticertic銆堛€娿€alSpacin屻€pacing w:銆愩€斻€栥€濓箼锕涳節锛勶紙锛庯蓟锝涳俊锟orizontalDrawingGriw:val=&quot;0&quot;/&gt;&lt;w:displaicalDrawingGridEvery w:2&quot;/&gt;&lt;w:punctuationKerniw:characterSpacingContrval=&quot;CompressPunctuatio">
                  <v:path/>
                  <v:fill on="f" focussize="0,0"/>
                  <v:stroke on="f" joinstyle="miter"/>
                  <v:imagedata r:id="rId30" chromakey="#FFFFFF" o:title=""/>
                  <o:lock v:ext="edit" aspectratio="t"/>
                  <w10:wrap type="none"/>
                  <w10:anchorlock/>
                </v:shape>
              </w:pict>
            </w:r>
            <w:r>
              <w:rPr>
                <w:u w:val="single"/>
              </w:rPr>
              <w:instrText xml:space="preserve"> </w:instrText>
            </w:r>
            <w:r>
              <w:rPr>
                <w:u w:val="single"/>
              </w:rPr>
              <w:fldChar w:fldCharType="end"/>
            </w:r>
            <w:r>
              <w:rPr>
                <w:rFonts w:ascii="Times New Roman" w:cs="Times New Roman"/>
                <w:u w:val="single"/>
              </w:rPr>
              <w:t>σ</w:t>
            </w:r>
            <w:r>
              <w:rPr>
                <w:rFonts w:ascii="Times New Roman" w:cs="Times New Roman"/>
                <w:u w:val="single"/>
                <w:vertAlign w:val="subscript"/>
              </w:rPr>
              <w:t>0</w:t>
            </w:r>
            <w:r>
              <w:rPr>
                <w:rFonts w:hint="eastAsia"/>
              </w:rPr>
              <w:t>，水平位移为零，此为初状态。然后施加水平</w:t>
            </w:r>
            <w:r>
              <w:rPr>
                <w:rFonts w:hint="eastAsia"/>
                <w:bdr w:val="single" w:color="auto" w:sz="4" w:space="0"/>
              </w:rPr>
              <w:t>荷载，使支座处于水平位移为支座内部橡胶直径</w:t>
            </w:r>
            <w:r>
              <w:rPr>
                <w:bdr w:val="single" w:color="auto" w:sz="4" w:space="0"/>
              </w:rPr>
              <w:t>0.55</w:t>
            </w:r>
            <w:r>
              <w:rPr>
                <w:rFonts w:hint="eastAsia"/>
                <w:bdr w:val="single" w:color="auto" w:sz="4" w:space="0"/>
              </w:rPr>
              <w:t>倍的剪切变形状态，再继续缓慢或分级竖向加载，</w:t>
            </w:r>
            <w:r>
              <w:rPr>
                <w:rFonts w:hint="eastAsia"/>
                <w:u w:val="single"/>
              </w:rPr>
              <w:t>力，同时施加竖向轴压力，当水平加载至位移为支座内部橡胶直径的0.55倍时，轴向压力同时加载至压应力30MPa，然后水平向位移和竖向轴压力同时卸载至初始状态，反向以同样的方式加载至支座内部橡胶直径0.55倍，竖向加载至33MPa，如此重复3次，加载频率不大于0.02Hz。</w:t>
            </w:r>
            <w:r>
              <w:rPr>
                <w:rFonts w:hint="eastAsia"/>
              </w:rPr>
              <w:t>记录竖向荷载</w:t>
            </w:r>
            <w:r>
              <w:rPr>
                <w:rFonts w:hint="eastAsia"/>
                <w:bdr w:val="single" w:color="auto" w:sz="2" w:space="0"/>
              </w:rPr>
              <w:t>和水平刚度</w:t>
            </w:r>
            <w:r>
              <w:rPr>
                <w:rFonts w:hint="eastAsia"/>
                <w:u w:val="single"/>
              </w:rPr>
              <w:t>、水平荷载和水平位移，绘制滞回曲线</w:t>
            </w:r>
            <w:r>
              <w:rPr>
                <w:bdr w:val="single" w:color="auto" w:sz="2" w:space="0"/>
              </w:rPr>
              <w:t>,</w:t>
            </w:r>
            <w:r>
              <w:rPr>
                <w:rFonts w:hint="eastAsia"/>
                <w:bdr w:val="single" w:color="auto" w:sz="2" w:space="0"/>
              </w:rPr>
              <w:t>往复循环加载各一次</w:t>
            </w:r>
            <w:r>
              <w:rPr>
                <w:rFonts w:hint="eastAsia"/>
              </w:rPr>
              <w:t>。</w:t>
            </w:r>
            <w:r>
              <w:rPr>
                <w:rFonts w:hint="eastAsia"/>
                <w:u w:val="single"/>
              </w:rPr>
              <w:t>加载时曲线应单调增加，当滞回曲线，</w:t>
            </w:r>
            <w:r>
              <w:rPr>
                <w:rFonts w:hint="eastAsia"/>
              </w:rPr>
              <w:t>当</w:t>
            </w:r>
            <w:r>
              <w:rPr>
                <w:rFonts w:hint="eastAsia"/>
                <w:bdr w:val="single" w:color="auto" w:sz="2" w:space="0"/>
              </w:rPr>
              <w:t>支座外观</w:t>
            </w:r>
            <w:r>
              <w:rPr>
                <w:rFonts w:hint="eastAsia"/>
                <w:u w:val="single"/>
              </w:rPr>
              <w:t>滞回曲线</w:t>
            </w:r>
            <w:r>
              <w:rPr>
                <w:rFonts w:hint="eastAsia"/>
              </w:rPr>
              <w:t>发生明显异常</w:t>
            </w:r>
            <w:r>
              <w:rPr>
                <w:rFonts w:hint="eastAsia"/>
                <w:bdr w:val="single" w:color="auto" w:sz="2" w:space="0"/>
              </w:rPr>
              <w:t>或水平刚度趋于</w:t>
            </w:r>
            <w:r>
              <w:rPr>
                <w:bdr w:val="single" w:color="auto" w:sz="2" w:space="0"/>
              </w:rPr>
              <w:t>0</w:t>
            </w:r>
            <w:r>
              <w:rPr>
                <w:rFonts w:hint="eastAsia"/>
                <w:bdr w:val="single" w:color="auto" w:sz="2" w:space="0"/>
              </w:rPr>
              <w:t>时</w:t>
            </w:r>
            <w:r>
              <w:rPr>
                <w:rFonts w:hint="eastAsia"/>
              </w:rPr>
              <w:t>，</w:t>
            </w:r>
            <w:r>
              <w:rPr>
                <w:rFonts w:hint="eastAsia"/>
                <w:u w:val="single"/>
              </w:rPr>
              <w:t>支座出现鼓包、凹陷、橡胶撕裂、钢板与橡胶间出现开胶或失稳等，均</w:t>
            </w:r>
            <w:r>
              <w:rPr>
                <w:rFonts w:hint="eastAsia"/>
              </w:rPr>
              <w:t>视为破坏。</w:t>
            </w:r>
          </w:p>
        </w:tc>
      </w:tr>
      <w:tr w14:paraId="7625A6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53C109A5">
            <w:pPr>
              <w:pStyle w:val="74"/>
              <w:numPr>
                <w:ilvl w:val="3"/>
                <w:numId w:val="0"/>
              </w:numPr>
              <w:rPr>
                <w:rFonts w:hint="eastAsia" w:asciiTheme="majorEastAsia" w:hAnsiTheme="majorEastAsia" w:eastAsiaTheme="majorEastAsia"/>
              </w:rPr>
            </w:pPr>
            <w:r>
              <w:rPr>
                <w:rFonts w:hint="eastAsia" w:ascii="黑体" w:hAnsi="黑体"/>
              </w:rPr>
              <w:t>7.4.5 竖向拉伸刚度、竖向极限拉应力</w:t>
            </w:r>
          </w:p>
          <w:p w14:paraId="2F9BEC7D">
            <w:pPr>
              <w:pStyle w:val="72"/>
              <w:ind w:firstLine="420"/>
              <w:rPr>
                <w:rFonts w:cs="Times New Roman"/>
              </w:rPr>
            </w:pPr>
            <w:r>
              <w:rPr>
                <w:rFonts w:hint="eastAsia"/>
              </w:rPr>
              <w:t>对支座在剪应变</w:t>
            </w:r>
            <w:r>
              <w:rPr>
                <w:rFonts w:hint="eastAsia" w:hAnsi="宋体"/>
              </w:rPr>
              <w:t>为零</w:t>
            </w:r>
            <w:r>
              <w:rPr>
                <w:rFonts w:hAnsi="宋体"/>
              </w:rPr>
              <w:t>的条件下</w:t>
            </w:r>
            <w:r>
              <w:rPr>
                <w:rFonts w:hint="eastAsia"/>
              </w:rPr>
              <w:t>，低速施加拉力直到试件发生破坏，绘出拉力和拉伸位移关系曲线。按下列方法求出屈服拉力和拉伸刚度：</w:t>
            </w:r>
          </w:p>
          <w:p w14:paraId="0BCC4052">
            <w:pPr>
              <w:pStyle w:val="72"/>
              <w:numPr>
                <w:ilvl w:val="0"/>
                <w:numId w:val="11"/>
              </w:numPr>
              <w:ind w:firstLineChars="0"/>
              <w:rPr>
                <w:rFonts w:cs="Times New Roman"/>
              </w:rPr>
            </w:pPr>
            <w:r>
              <w:rPr>
                <w:rFonts w:hint="eastAsia"/>
              </w:rPr>
              <w:t>通过原点和曲线上与剪切模量</w:t>
            </w:r>
            <w:r>
              <w:t>G</w:t>
            </w:r>
            <w:r>
              <w:rPr>
                <w:rFonts w:hint="eastAsia"/>
              </w:rPr>
              <w:t>对应的拉力作一条直线（</w:t>
            </w:r>
            <w:r>
              <w:t>G</w:t>
            </w:r>
            <w:r>
              <w:rPr>
                <w:rFonts w:hint="eastAsia"/>
              </w:rPr>
              <w:t>为设计压应力、设计剪应变作用下的剪切模量）；</w:t>
            </w:r>
          </w:p>
          <w:p w14:paraId="35CC3327">
            <w:pPr>
              <w:pStyle w:val="72"/>
              <w:numPr>
                <w:ilvl w:val="0"/>
                <w:numId w:val="11"/>
              </w:numPr>
              <w:ind w:firstLineChars="0"/>
              <w:rPr>
                <w:rFonts w:cs="Times New Roman"/>
              </w:rPr>
            </w:pPr>
            <w:r>
              <w:rPr>
                <w:rFonts w:hint="eastAsia"/>
              </w:rPr>
              <w:t>将上述直线水平偏移</w:t>
            </w:r>
            <w:r>
              <w:t>1%</w:t>
            </w:r>
            <w:r>
              <w:rPr>
                <w:rFonts w:hint="eastAsia"/>
              </w:rPr>
              <w:t>的内部橡胶厚度；</w:t>
            </w:r>
          </w:p>
          <w:p w14:paraId="75D31CD5">
            <w:pPr>
              <w:pStyle w:val="72"/>
              <w:numPr>
                <w:ilvl w:val="0"/>
                <w:numId w:val="11"/>
              </w:numPr>
              <w:ind w:firstLineChars="0"/>
              <w:rPr>
                <w:rFonts w:cs="Times New Roman"/>
              </w:rPr>
            </w:pPr>
            <w:r>
              <w:rPr>
                <w:rFonts w:hint="eastAsia"/>
              </w:rPr>
              <w:t>偏移线和试验曲线相交点对应的力即为屈服拉力；</w:t>
            </w:r>
          </w:p>
          <w:p w14:paraId="3F060406">
            <w:pPr>
              <w:pStyle w:val="72"/>
              <w:numPr>
                <w:ilvl w:val="0"/>
                <w:numId w:val="11"/>
              </w:numPr>
              <w:ind w:firstLineChars="0"/>
              <w:rPr>
                <w:rFonts w:cs="Times New Roman"/>
              </w:rPr>
            </w:pPr>
            <w:r>
              <w:t>10%</w:t>
            </w:r>
            <w:r>
              <w:rPr>
                <w:rFonts w:hint="eastAsia"/>
              </w:rPr>
              <w:t>拉应变对应的割线刚度即为拉伸刚度；</w:t>
            </w:r>
          </w:p>
          <w:p w14:paraId="64D542B4">
            <w:pPr>
              <w:pStyle w:val="72"/>
              <w:numPr>
                <w:ilvl w:val="0"/>
                <w:numId w:val="11"/>
              </w:numPr>
              <w:ind w:firstLineChars="0"/>
              <w:rPr>
                <w:rFonts w:cs="Times New Roman"/>
              </w:rPr>
            </w:pPr>
            <w:r>
              <w:rPr>
                <w:rFonts w:hint="eastAsia"/>
              </w:rPr>
              <w:t>破坏点对应的试件拉应力即为竖向极限拉应力。</w:t>
            </w:r>
          </w:p>
          <w:p w14:paraId="646CDC23">
            <w:pPr>
              <w:pStyle w:val="72"/>
              <w:ind w:firstLine="420"/>
            </w:pPr>
          </w:p>
        </w:tc>
        <w:tc>
          <w:tcPr>
            <w:tcW w:w="5126" w:type="dxa"/>
          </w:tcPr>
          <w:p w14:paraId="3F46285F">
            <w:pPr>
              <w:pStyle w:val="74"/>
              <w:numPr>
                <w:ilvl w:val="3"/>
                <w:numId w:val="0"/>
              </w:numPr>
              <w:rPr>
                <w:rFonts w:hint="eastAsia" w:asciiTheme="majorEastAsia" w:hAnsiTheme="majorEastAsia" w:eastAsiaTheme="majorEastAsia"/>
                <w:bdr w:val="single" w:color="auto" w:sz="2" w:space="0"/>
              </w:rPr>
            </w:pPr>
            <w:r>
              <w:rPr>
                <w:rFonts w:hint="eastAsia" w:ascii="黑体" w:hAnsi="黑体"/>
                <w:bdr w:val="single" w:color="auto" w:sz="2" w:space="0"/>
              </w:rPr>
              <w:t>7.4.5 竖向拉伸刚度、竖向极限拉应力</w:t>
            </w:r>
          </w:p>
          <w:p w14:paraId="01878F72">
            <w:pPr>
              <w:pStyle w:val="72"/>
              <w:ind w:firstLine="420"/>
              <w:rPr>
                <w:rFonts w:cs="Times New Roman"/>
                <w:bdr w:val="single" w:color="auto" w:sz="2" w:space="0"/>
              </w:rPr>
            </w:pPr>
            <w:r>
              <w:rPr>
                <w:rFonts w:hint="eastAsia"/>
                <w:bdr w:val="single" w:color="auto" w:sz="2" w:space="0"/>
              </w:rPr>
              <w:t>对支座在剪应变</w:t>
            </w:r>
            <w:r>
              <w:rPr>
                <w:rFonts w:hint="eastAsia" w:hAnsi="宋体"/>
                <w:bdr w:val="single" w:color="auto" w:sz="2" w:space="0"/>
              </w:rPr>
              <w:t>为零</w:t>
            </w:r>
            <w:r>
              <w:rPr>
                <w:rFonts w:hAnsi="宋体"/>
                <w:bdr w:val="single" w:color="auto" w:sz="2" w:space="0"/>
              </w:rPr>
              <w:t>的条件下</w:t>
            </w:r>
            <w:r>
              <w:rPr>
                <w:rFonts w:hint="eastAsia"/>
                <w:bdr w:val="single" w:color="auto" w:sz="2" w:space="0"/>
              </w:rPr>
              <w:t>，低速施加拉力直到试件发生破坏，绘出拉力和拉伸位移关系曲线。按下列方法求出屈服拉力和拉伸刚度：</w:t>
            </w:r>
          </w:p>
          <w:p w14:paraId="4896AE1A">
            <w:pPr>
              <w:pStyle w:val="72"/>
              <w:ind w:left="420" w:firstLine="0" w:firstLineChars="0"/>
              <w:rPr>
                <w:rFonts w:cs="Times New Roman"/>
                <w:bdr w:val="single" w:color="auto" w:sz="2" w:space="0"/>
              </w:rPr>
            </w:pPr>
            <w:r>
              <w:rPr>
                <w:rFonts w:hint="eastAsia"/>
                <w:bdr w:val="single" w:color="auto" w:sz="2" w:space="0"/>
              </w:rPr>
              <w:t>a)通过原点和曲线上与剪切模量</w:t>
            </w:r>
            <w:r>
              <w:rPr>
                <w:bdr w:val="single" w:color="auto" w:sz="2" w:space="0"/>
              </w:rPr>
              <w:t>G</w:t>
            </w:r>
            <w:r>
              <w:rPr>
                <w:rFonts w:hint="eastAsia"/>
                <w:bdr w:val="single" w:color="auto" w:sz="2" w:space="0"/>
              </w:rPr>
              <w:t>对应的拉力作一条直线（</w:t>
            </w:r>
            <w:r>
              <w:rPr>
                <w:bdr w:val="single" w:color="auto" w:sz="2" w:space="0"/>
              </w:rPr>
              <w:t>G</w:t>
            </w:r>
            <w:r>
              <w:rPr>
                <w:rFonts w:hint="eastAsia"/>
                <w:bdr w:val="single" w:color="auto" w:sz="2" w:space="0"/>
              </w:rPr>
              <w:t>为设计压应力、设计剪应变作用下的剪切模量）；</w:t>
            </w:r>
          </w:p>
          <w:p w14:paraId="57A2034C">
            <w:pPr>
              <w:pStyle w:val="72"/>
              <w:ind w:left="420" w:firstLine="0" w:firstLineChars="0"/>
              <w:rPr>
                <w:rFonts w:cs="Times New Roman"/>
                <w:bdr w:val="single" w:color="auto" w:sz="2" w:space="0"/>
              </w:rPr>
            </w:pPr>
            <w:r>
              <w:rPr>
                <w:rFonts w:hint="eastAsia"/>
                <w:bdr w:val="single" w:color="auto" w:sz="2" w:space="0"/>
              </w:rPr>
              <w:t>b)将上述直线水平偏移</w:t>
            </w:r>
            <w:r>
              <w:rPr>
                <w:bdr w:val="single" w:color="auto" w:sz="2" w:space="0"/>
              </w:rPr>
              <w:t>1%</w:t>
            </w:r>
            <w:r>
              <w:rPr>
                <w:rFonts w:hint="eastAsia"/>
                <w:bdr w:val="single" w:color="auto" w:sz="2" w:space="0"/>
              </w:rPr>
              <w:t>的内部橡胶厚度；</w:t>
            </w:r>
          </w:p>
          <w:p w14:paraId="7D655678">
            <w:pPr>
              <w:pStyle w:val="72"/>
              <w:ind w:left="420" w:firstLine="0" w:firstLineChars="0"/>
              <w:rPr>
                <w:rFonts w:cs="Times New Roman"/>
                <w:bdr w:val="single" w:color="auto" w:sz="2" w:space="0"/>
              </w:rPr>
            </w:pPr>
            <w:r>
              <w:rPr>
                <w:rFonts w:hint="eastAsia"/>
                <w:bdr w:val="single" w:color="auto" w:sz="2" w:space="0"/>
              </w:rPr>
              <w:t>c)偏移线和试验曲线相交点对应的力即为屈服拉力；</w:t>
            </w:r>
          </w:p>
          <w:p w14:paraId="33B32DF5">
            <w:pPr>
              <w:pStyle w:val="72"/>
              <w:ind w:left="420" w:firstLine="0" w:firstLineChars="0"/>
              <w:rPr>
                <w:rFonts w:cs="Times New Roman"/>
                <w:bdr w:val="single" w:color="auto" w:sz="2" w:space="0"/>
              </w:rPr>
            </w:pPr>
            <w:r>
              <w:rPr>
                <w:rFonts w:hint="eastAsia"/>
                <w:bdr w:val="single" w:color="auto" w:sz="2" w:space="0"/>
              </w:rPr>
              <w:t>d)</w:t>
            </w:r>
            <w:r>
              <w:rPr>
                <w:bdr w:val="single" w:color="auto" w:sz="2" w:space="0"/>
              </w:rPr>
              <w:t>10%</w:t>
            </w:r>
            <w:r>
              <w:rPr>
                <w:rFonts w:hint="eastAsia"/>
                <w:bdr w:val="single" w:color="auto" w:sz="2" w:space="0"/>
              </w:rPr>
              <w:t>拉应变对应的割线刚度即为拉伸刚度；</w:t>
            </w:r>
          </w:p>
          <w:p w14:paraId="7BF6ED49">
            <w:pPr>
              <w:pStyle w:val="72"/>
              <w:ind w:left="420" w:firstLine="0" w:firstLineChars="0"/>
              <w:rPr>
                <w:rFonts w:cs="Times New Roman"/>
              </w:rPr>
            </w:pPr>
            <w:r>
              <w:rPr>
                <w:rFonts w:hint="eastAsia"/>
                <w:bdr w:val="single" w:color="auto" w:sz="2" w:space="0"/>
              </w:rPr>
              <w:t>e)破坏点对应的试件拉应力即为竖向极限拉应力。</w:t>
            </w:r>
          </w:p>
          <w:p w14:paraId="4AFA0F31">
            <w:pPr>
              <w:pStyle w:val="72"/>
              <w:ind w:firstLine="420"/>
              <w:rPr>
                <w:bdr w:val="single" w:color="auto" w:sz="2" w:space="0"/>
              </w:rPr>
            </w:pPr>
          </w:p>
        </w:tc>
      </w:tr>
      <w:tr w14:paraId="591A06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1D6EF626">
            <w:pPr>
              <w:pStyle w:val="74"/>
              <w:numPr>
                <w:ilvl w:val="3"/>
                <w:numId w:val="0"/>
              </w:numPr>
              <w:rPr>
                <w:rFonts w:hint="eastAsia" w:ascii="黑体" w:hAnsi="黑体"/>
              </w:rPr>
            </w:pPr>
            <w:r>
              <w:rPr>
                <w:rFonts w:hint="eastAsia" w:ascii="黑体" w:hAnsi="黑体"/>
              </w:rPr>
              <w:t>7.4.6 侧向</w:t>
            </w:r>
            <w:r>
              <w:rPr>
                <w:rFonts w:ascii="黑体" w:hAnsi="黑体"/>
              </w:rPr>
              <w:t>不均匀变形</w:t>
            </w:r>
          </w:p>
          <w:p w14:paraId="44E5D32A">
            <w:pPr>
              <w:autoSpaceDE w:val="0"/>
              <w:autoSpaceDN w:val="0"/>
              <w:adjustRightInd w:val="0"/>
              <w:ind w:firstLine="420" w:firstLineChars="200"/>
              <w:jc w:val="left"/>
            </w:pPr>
            <w:r>
              <w:rPr>
                <w:rFonts w:hint="eastAsia" w:ascii="宋体" w:cs="宋体"/>
                <w:kern w:val="0"/>
              </w:rPr>
              <w:t>在设计竖向压应力下，采用直角尺和塞尺测量支座侧面最大鼓出位置的鼓出量。</w:t>
            </w:r>
          </w:p>
          <w:p w14:paraId="3FE2D769">
            <w:pPr>
              <w:pStyle w:val="72"/>
              <w:ind w:firstLine="420"/>
            </w:pPr>
            <w:r>
              <w:rPr>
                <w:rFonts w:hint="eastAsia"/>
              </w:rPr>
              <w:t>测量侧向</w:t>
            </w:r>
            <w:r>
              <w:t>不均匀</w:t>
            </w:r>
            <w:r>
              <w:rPr>
                <w:rFonts w:hint="eastAsia"/>
              </w:rPr>
              <w:t>变形</w:t>
            </w:r>
            <w:r>
              <w:t>时的竖向压应力，</w:t>
            </w:r>
            <w:r>
              <w:rPr>
                <w:rFonts w:hint="eastAsia"/>
              </w:rPr>
              <w:t>当</w:t>
            </w:r>
            <w:r>
              <w:t>S</w:t>
            </w:r>
            <w:r>
              <w:rPr>
                <w:vertAlign w:val="subscript"/>
              </w:rPr>
              <w:t>2</w:t>
            </w:r>
            <w:r>
              <w:rPr>
                <w:rFonts w:hint="eastAsia"/>
              </w:rPr>
              <w:t>不小于5时</w:t>
            </w:r>
            <w:r>
              <w:t>，</w:t>
            </w:r>
            <w:r>
              <w:rPr>
                <w:rFonts w:hint="eastAsia"/>
              </w:rPr>
              <w:t>型式</w:t>
            </w:r>
            <w:r>
              <w:t>检验</w:t>
            </w:r>
            <w:r>
              <w:rPr>
                <w:rFonts w:hint="eastAsia"/>
              </w:rPr>
              <w:t>取</w:t>
            </w:r>
            <w:r>
              <w:t>15MPa</w:t>
            </w:r>
            <w:r>
              <w:rPr>
                <w:rFonts w:hint="eastAsia"/>
              </w:rPr>
              <w:t>，出厂检验</w:t>
            </w:r>
            <w:r>
              <w:t>取</w:t>
            </w:r>
            <w:r>
              <w:rPr>
                <w:rFonts w:hint="eastAsia"/>
              </w:rPr>
              <w:t>设计压应力；当</w:t>
            </w:r>
            <w:r>
              <w:t>S</w:t>
            </w:r>
            <w:r>
              <w:rPr>
                <w:vertAlign w:val="subscript"/>
              </w:rPr>
              <w:t>2</w:t>
            </w:r>
            <w:r>
              <w:rPr>
                <w:rFonts w:hint="eastAsia"/>
              </w:rPr>
              <w:t>不小于4且小于5时，</w:t>
            </w:r>
            <w:r>
              <w:t>竖向压应力</w:t>
            </w:r>
            <w:r>
              <w:rPr>
                <w:rFonts w:hint="eastAsia"/>
              </w:rPr>
              <w:t>降低</w:t>
            </w:r>
            <w:r>
              <w:t>20%</w:t>
            </w:r>
            <w:r>
              <w:rPr>
                <w:rFonts w:hint="eastAsia"/>
              </w:rPr>
              <w:t>；当</w:t>
            </w:r>
            <w:r>
              <w:t>S</w:t>
            </w:r>
            <w:r>
              <w:rPr>
                <w:vertAlign w:val="subscript"/>
              </w:rPr>
              <w:t>2</w:t>
            </w:r>
            <w:r>
              <w:rPr>
                <w:rFonts w:hint="eastAsia"/>
              </w:rPr>
              <w:t>不小于3且小于4时，</w:t>
            </w:r>
            <w:r>
              <w:t>竖向压应力</w:t>
            </w:r>
            <w:r>
              <w:rPr>
                <w:rFonts w:hint="eastAsia"/>
              </w:rPr>
              <w:t>降低</w:t>
            </w:r>
            <w:r>
              <w:t>40%</w:t>
            </w:r>
            <w:r>
              <w:rPr>
                <w:rFonts w:hint="eastAsia"/>
              </w:rPr>
              <w:t>。</w:t>
            </w:r>
          </w:p>
        </w:tc>
        <w:tc>
          <w:tcPr>
            <w:tcW w:w="5126" w:type="dxa"/>
          </w:tcPr>
          <w:p w14:paraId="7C6EB939">
            <w:pPr>
              <w:pStyle w:val="74"/>
              <w:numPr>
                <w:ilvl w:val="3"/>
                <w:numId w:val="0"/>
              </w:numPr>
              <w:rPr>
                <w:rFonts w:hint="eastAsia" w:ascii="黑体" w:hAnsi="黑体"/>
              </w:rPr>
            </w:pPr>
            <w:r>
              <w:rPr>
                <w:rFonts w:hint="eastAsia" w:ascii="黑体" w:hAnsi="黑体"/>
              </w:rPr>
              <w:t>7.4.6 侧向</w:t>
            </w:r>
            <w:r>
              <w:rPr>
                <w:rFonts w:ascii="黑体" w:hAnsi="黑体"/>
              </w:rPr>
              <w:t>不均匀变形</w:t>
            </w:r>
          </w:p>
          <w:p w14:paraId="3EC4B6FE">
            <w:pPr>
              <w:autoSpaceDE w:val="0"/>
              <w:autoSpaceDN w:val="0"/>
              <w:adjustRightInd w:val="0"/>
              <w:ind w:firstLine="420" w:firstLineChars="200"/>
              <w:jc w:val="left"/>
            </w:pPr>
            <w:r>
              <w:rPr>
                <w:rFonts w:hint="eastAsia" w:ascii="宋体" w:cs="宋体"/>
                <w:kern w:val="0"/>
              </w:rPr>
              <w:t>在设计竖向压应力下，采用直角尺和塞尺测量支座侧面最大鼓出位置的鼓出量。</w:t>
            </w:r>
          </w:p>
          <w:p w14:paraId="1BAD0EB5">
            <w:pPr>
              <w:pStyle w:val="72"/>
              <w:ind w:firstLine="420"/>
              <w:rPr>
                <w:bdr w:val="single" w:color="auto" w:sz="2" w:space="0"/>
              </w:rPr>
            </w:pPr>
            <w:r>
              <w:rPr>
                <w:rFonts w:hint="eastAsia"/>
              </w:rPr>
              <w:t>测量侧向</w:t>
            </w:r>
            <w:r>
              <w:t>不均匀</w:t>
            </w:r>
            <w:r>
              <w:rPr>
                <w:rFonts w:hint="eastAsia"/>
              </w:rPr>
              <w:t>变形</w:t>
            </w:r>
            <w:r>
              <w:t>时的竖向压应力，</w:t>
            </w:r>
            <w:r>
              <w:rPr>
                <w:rFonts w:hint="eastAsia"/>
              </w:rPr>
              <w:t>当</w:t>
            </w:r>
            <w:r>
              <w:t>S</w:t>
            </w:r>
            <w:r>
              <w:rPr>
                <w:vertAlign w:val="subscript"/>
              </w:rPr>
              <w:t>2</w:t>
            </w:r>
            <w:r>
              <w:rPr>
                <w:rFonts w:hint="eastAsia"/>
              </w:rPr>
              <w:t>不小于5时</w:t>
            </w:r>
            <w:r>
              <w:t>，</w:t>
            </w:r>
            <w:r>
              <w:rPr>
                <w:rFonts w:hint="eastAsia"/>
              </w:rPr>
              <w:t>型式</w:t>
            </w:r>
            <w:r>
              <w:t>检验</w:t>
            </w:r>
            <w:r>
              <w:rPr>
                <w:rFonts w:hint="eastAsia"/>
              </w:rPr>
              <w:t>取</w:t>
            </w:r>
            <w:r>
              <w:t>15MPa</w:t>
            </w:r>
            <w:r>
              <w:rPr>
                <w:rFonts w:hint="eastAsia"/>
              </w:rPr>
              <w:t>，出厂检验</w:t>
            </w:r>
            <w:r>
              <w:t>取</w:t>
            </w:r>
            <w:r>
              <w:rPr>
                <w:rFonts w:hint="eastAsia"/>
              </w:rPr>
              <w:t>设计压应力；当</w:t>
            </w:r>
            <w:r>
              <w:t>S</w:t>
            </w:r>
            <w:r>
              <w:rPr>
                <w:vertAlign w:val="subscript"/>
              </w:rPr>
              <w:t>2</w:t>
            </w:r>
            <w:r>
              <w:rPr>
                <w:rFonts w:hint="eastAsia"/>
              </w:rPr>
              <w:t>不小于4且小于5时</w:t>
            </w:r>
            <w:r>
              <w:rPr>
                <w:rFonts w:hint="eastAsia"/>
                <w:bdr w:val="single" w:color="auto" w:sz="4" w:space="0"/>
              </w:rPr>
              <w:t>，</w:t>
            </w:r>
            <w:r>
              <w:t>竖向压应力</w:t>
            </w:r>
            <w:r>
              <w:rPr>
                <w:rFonts w:hint="eastAsia"/>
              </w:rPr>
              <w:t>降低</w:t>
            </w:r>
            <w:r>
              <w:t>20%</w:t>
            </w:r>
            <w:r>
              <w:rPr>
                <w:rFonts w:hint="eastAsia"/>
              </w:rPr>
              <w:t>；当</w:t>
            </w:r>
            <w:r>
              <w:t>S</w:t>
            </w:r>
            <w:r>
              <w:rPr>
                <w:vertAlign w:val="subscript"/>
              </w:rPr>
              <w:t>2</w:t>
            </w:r>
            <w:r>
              <w:rPr>
                <w:rFonts w:hint="eastAsia"/>
              </w:rPr>
              <w:t>不小于3且小于4时</w:t>
            </w:r>
            <w:r>
              <w:rPr>
                <w:rFonts w:hint="eastAsia"/>
                <w:bdr w:val="single" w:color="auto" w:sz="4" w:space="0"/>
              </w:rPr>
              <w:t>，</w:t>
            </w:r>
            <w:r>
              <w:t>竖向压应力</w:t>
            </w:r>
            <w:r>
              <w:rPr>
                <w:rFonts w:hint="eastAsia"/>
              </w:rPr>
              <w:t>降低</w:t>
            </w:r>
            <w:r>
              <w:t>40%</w:t>
            </w:r>
            <w:r>
              <w:rPr>
                <w:rFonts w:hint="eastAsia"/>
              </w:rPr>
              <w:t>。</w:t>
            </w:r>
          </w:p>
        </w:tc>
      </w:tr>
      <w:tr w14:paraId="156299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5684BB05">
            <w:pPr>
              <w:pStyle w:val="74"/>
              <w:numPr>
                <w:ilvl w:val="3"/>
                <w:numId w:val="0"/>
              </w:numPr>
              <w:rPr>
                <w:rFonts w:hint="eastAsia" w:ascii="黑体" w:hAnsi="黑体"/>
              </w:rPr>
            </w:pPr>
            <w:r>
              <w:rPr>
                <w:rFonts w:hint="eastAsia" w:ascii="黑体" w:hAnsi="黑体"/>
              </w:rPr>
              <w:t>7.4.7水平等效刚度</w:t>
            </w:r>
          </w:p>
          <w:p w14:paraId="3D079E03">
            <w:pPr>
              <w:pStyle w:val="72"/>
              <w:ind w:firstLine="420"/>
            </w:pPr>
            <w:r>
              <w:rPr>
                <w:rFonts w:hint="eastAsia"/>
              </w:rPr>
              <w:t>对被试支座在产品的设计压应力作用下，进行剪应变</w:t>
            </w:r>
            <w:r>
              <w:rPr>
                <w:rFonts w:hint="eastAsia" w:hAnsi="宋体"/>
              </w:rPr>
              <w:t>γ为</w:t>
            </w:r>
            <w:r>
              <w:t>100%</w:t>
            </w:r>
            <w:r>
              <w:rPr>
                <w:rFonts w:hint="eastAsia"/>
              </w:rPr>
              <w:t>和</w:t>
            </w:r>
            <w:r>
              <w:t>250%</w:t>
            </w:r>
            <w:r>
              <w:rPr>
                <w:rFonts w:hint="eastAsia"/>
              </w:rPr>
              <w:t>，加载频率</w:t>
            </w:r>
            <w:r>
              <w:t>f</w:t>
            </w:r>
            <w:r>
              <w:rPr>
                <w:rFonts w:hint="eastAsia"/>
              </w:rPr>
              <w:t>不低于</w:t>
            </w:r>
            <w:r>
              <w:t>0.02Hz</w:t>
            </w:r>
            <w:r>
              <w:rPr>
                <w:rFonts w:hint="eastAsia"/>
              </w:rPr>
              <w:t>，水平加载波形为正弦波的动力加载试验。以对应于正剪应变</w:t>
            </w:r>
            <w:r>
              <w:rPr>
                <w:rFonts w:hint="eastAsia" w:hAnsi="宋体"/>
              </w:rPr>
              <w:t>γ</w:t>
            </w:r>
            <w:r>
              <w:rPr>
                <w:rFonts w:hint="eastAsia"/>
              </w:rPr>
              <w:t>和负剪应变</w:t>
            </w:r>
            <w:r>
              <w:t>-</w:t>
            </w:r>
            <w:r>
              <w:rPr>
                <w:rFonts w:hint="eastAsia" w:hAnsi="宋体"/>
              </w:rPr>
              <w:t>γ</w:t>
            </w:r>
            <w:r>
              <w:rPr>
                <w:rFonts w:hint="eastAsia"/>
              </w:rPr>
              <w:t>的水平位移作为最大水平正位移和负位移，连续作出</w:t>
            </w:r>
            <w:r>
              <w:t>3</w:t>
            </w:r>
            <w:r>
              <w:rPr>
                <w:rFonts w:hint="eastAsia"/>
              </w:rPr>
              <w:t>条滞回曲线。用第</w:t>
            </w:r>
            <w:r>
              <w:t>3</w:t>
            </w:r>
            <w:r>
              <w:rPr>
                <w:rFonts w:hint="eastAsia"/>
              </w:rPr>
              <w:t>条滞回曲线，按下式计算支座的水平等效刚度：</w:t>
            </w:r>
          </w:p>
          <w:p w14:paraId="6845A1D8">
            <w:pPr>
              <w:pStyle w:val="72"/>
              <w:ind w:firstLine="420"/>
            </w:pPr>
            <w:r>
              <w:drawing>
                <wp:inline distT="0" distB="0" distL="114300" distR="114300">
                  <wp:extent cx="2849245" cy="322580"/>
                  <wp:effectExtent l="0" t="0" r="8255" b="1270"/>
                  <wp:docPr id="51"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2"/>
                          <pic:cNvPicPr>
                            <a:picLocks noChangeAspect="1"/>
                          </pic:cNvPicPr>
                        </pic:nvPicPr>
                        <pic:blipFill>
                          <a:blip r:embed="rId31"/>
                          <a:stretch>
                            <a:fillRect/>
                          </a:stretch>
                        </pic:blipFill>
                        <pic:spPr>
                          <a:xfrm>
                            <a:off x="0" y="0"/>
                            <a:ext cx="2849245" cy="322580"/>
                          </a:xfrm>
                          <a:prstGeom prst="rect">
                            <a:avLst/>
                          </a:prstGeom>
                          <a:noFill/>
                          <a:ln>
                            <a:noFill/>
                          </a:ln>
                        </pic:spPr>
                      </pic:pic>
                    </a:graphicData>
                  </a:graphic>
                </wp:inline>
              </w:drawing>
            </w:r>
          </w:p>
          <w:p w14:paraId="525EC39E">
            <w:pPr>
              <w:pStyle w:val="72"/>
              <w:ind w:firstLine="0" w:firstLineChars="0"/>
              <w:jc w:val="left"/>
            </w:pPr>
            <w:r>
              <w:rPr>
                <w:rFonts w:hint="eastAsia"/>
              </w:rPr>
              <w:t>式中：</w:t>
            </w:r>
          </w:p>
          <w:p w14:paraId="188370AC">
            <w:pPr>
              <w:pStyle w:val="72"/>
              <w:ind w:firstLine="409" w:firstLineChars="195"/>
            </w:pPr>
            <m:oMath>
              <m:sSub>
                <m:sSubPr>
                  <m:ctrlPr>
                    <w:rPr>
                      <w:rFonts w:ascii="Cambria Math" w:hAnsi="Cambria Math"/>
                    </w:rPr>
                  </m:ctrlPr>
                </m:sSubPr>
                <m:e>
                  <m:r>
                    <m:rPr/>
                    <w:rPr>
                      <w:rFonts w:ascii="Cambria Math" w:hAnsi="Cambria Math"/>
                    </w:rPr>
                    <m:t xml:space="preserve"> K</m:t>
                  </m:r>
                  <m:ctrlPr>
                    <w:rPr>
                      <w:rFonts w:ascii="Cambria Math" w:hAnsi="Cambria Math"/>
                    </w:rPr>
                  </m:ctrlPr>
                </m:e>
                <m:sub>
                  <m:r>
                    <m:rPr>
                      <m:sty m:val="p"/>
                    </m:rPr>
                    <w:rPr>
                      <w:rFonts w:ascii="Cambria Math" w:hAnsi="Cambria Math"/>
                    </w:rPr>
                    <m:t>h</m:t>
                  </m:r>
                  <m:ctrlPr>
                    <w:rPr>
                      <w:rFonts w:ascii="Cambria Math" w:hAnsi="Cambria Math"/>
                    </w:rPr>
                  </m:ctrlPr>
                </m:sub>
              </m:sSub>
            </m:oMath>
            <w:r>
              <w:t>——</w:t>
            </w:r>
            <w:r>
              <w:rPr>
                <w:rFonts w:hint="eastAsia"/>
              </w:rPr>
              <w:t>水平等效刚度（kN/m）；</w:t>
            </w:r>
          </w:p>
          <w:p w14:paraId="05863C06">
            <w:pPr>
              <w:pStyle w:val="72"/>
              <w:ind w:firstLine="424" w:firstLineChars="202"/>
            </w:pPr>
            <m:oMath>
              <m:sSup>
                <m:sSupPr>
                  <m:ctrlPr>
                    <w:rPr>
                      <w:rFonts w:ascii="Cambria Math" w:hAnsi="Cambria Math"/>
                      <w:i/>
                    </w:rPr>
                  </m:ctrlPr>
                </m:sSupPr>
                <m:e>
                  <m:r>
                    <m:rPr/>
                    <w:rPr>
                      <w:rFonts w:ascii="Cambria Math" w:hAnsi="Cambria Math"/>
                    </w:rPr>
                    <m:t>U</m:t>
                  </m:r>
                  <m:ctrlPr>
                    <w:rPr>
                      <w:rFonts w:ascii="Cambria Math" w:hAnsi="Cambria Math"/>
                      <w:i/>
                    </w:rPr>
                  </m:ctrlPr>
                </m:e>
                <m:sup>
                  <m:r>
                    <m:rPr/>
                    <w:rPr>
                      <w:rFonts w:ascii="Cambria Math" w:hAnsi="Cambria Math"/>
                    </w:rPr>
                    <m:t>+</m:t>
                  </m:r>
                  <m:ctrlPr>
                    <w:rPr>
                      <w:rFonts w:ascii="Cambria Math" w:hAnsi="Cambria Math"/>
                      <w:i/>
                    </w:rPr>
                  </m:ctrlPr>
                </m:sup>
              </m:sSup>
            </m:oMath>
            <w:r>
              <w:t>——</w:t>
            </w:r>
            <w:r>
              <w:rPr>
                <w:rFonts w:hint="eastAsia"/>
              </w:rPr>
              <w:t>最大水平正位移（mm）；</w:t>
            </w:r>
          </w:p>
          <w:p w14:paraId="09B954E0">
            <w:pPr>
              <w:pStyle w:val="72"/>
              <w:ind w:firstLine="424" w:firstLineChars="202"/>
            </w:pPr>
            <m:oMath>
              <m:sSup>
                <m:sSupPr>
                  <m:ctrlPr>
                    <w:rPr>
                      <w:rFonts w:ascii="Cambria Math" w:hAnsi="Cambria Math"/>
                      <w:i/>
                    </w:rPr>
                  </m:ctrlPr>
                </m:sSupPr>
                <m:e>
                  <m:r>
                    <m:rPr/>
                    <w:rPr>
                      <w:rFonts w:ascii="Cambria Math" w:hAnsi="Cambria Math"/>
                    </w:rPr>
                    <m:t>U</m:t>
                  </m:r>
                  <m:ctrlPr>
                    <w:rPr>
                      <w:rFonts w:ascii="Cambria Math" w:hAnsi="Cambria Math"/>
                      <w:i/>
                    </w:rPr>
                  </m:ctrlPr>
                </m:e>
                <m:sup>
                  <m:r>
                    <m:rPr/>
                    <w:rPr>
                      <w:rFonts w:ascii="Cambria Math" w:hAnsi="Cambria Math"/>
                    </w:rPr>
                    <m:t>−</m:t>
                  </m:r>
                  <m:ctrlPr>
                    <w:rPr>
                      <w:rFonts w:ascii="Cambria Math" w:hAnsi="Cambria Math"/>
                      <w:i/>
                    </w:rPr>
                  </m:ctrlPr>
                </m:sup>
              </m:sSup>
            </m:oMath>
            <w:r>
              <w:t>——</w:t>
            </w:r>
            <w:r>
              <w:rPr>
                <w:rFonts w:hint="eastAsia"/>
              </w:rPr>
              <w:t xml:space="preserve">最大水平负位移（mm）； </w:t>
            </w:r>
          </w:p>
          <w:p w14:paraId="25F9CCAD">
            <w:pPr>
              <w:pStyle w:val="72"/>
              <w:ind w:firstLine="424" w:firstLineChars="202"/>
            </w:pPr>
            <m:oMath>
              <m:sSup>
                <m:sSupPr>
                  <m:ctrlPr>
                    <w:rPr>
                      <w:rFonts w:ascii="Cambria Math" w:hAnsi="Cambria Math"/>
                      <w:i/>
                    </w:rPr>
                  </m:ctrlPr>
                </m:sSupPr>
                <m:e>
                  <m:r>
                    <m:rPr/>
                    <w:rPr>
                      <w:rFonts w:ascii="Cambria Math" w:hAnsi="Cambria Math"/>
                    </w:rPr>
                    <m:t>Q</m:t>
                  </m:r>
                  <m:ctrlPr>
                    <w:rPr>
                      <w:rFonts w:ascii="Cambria Math" w:hAnsi="Cambria Math"/>
                      <w:i/>
                    </w:rPr>
                  </m:ctrlPr>
                </m:e>
                <m:sup>
                  <m:r>
                    <m:rPr/>
                    <w:rPr>
                      <w:rFonts w:ascii="Cambria Math" w:hAnsi="Cambria Math"/>
                    </w:rPr>
                    <m:t>+</m:t>
                  </m:r>
                  <m:ctrlPr>
                    <w:rPr>
                      <w:rFonts w:ascii="Cambria Math" w:hAnsi="Cambria Math"/>
                      <w:i/>
                    </w:rPr>
                  </m:ctrlPr>
                </m:sup>
              </m:sSup>
            </m:oMath>
            <w:r>
              <w:t>——</w:t>
            </w:r>
            <w:r>
              <w:rPr>
                <w:rFonts w:hint="eastAsia"/>
              </w:rPr>
              <w:t>与</w:t>
            </w:r>
            <m:oMath>
              <m:sSup>
                <m:sSupPr>
                  <m:ctrlPr>
                    <w:rPr>
                      <w:rFonts w:ascii="Cambria Math" w:hAnsi="Cambria Math"/>
                      <w:i/>
                    </w:rPr>
                  </m:ctrlPr>
                </m:sSupPr>
                <m:e>
                  <m:r>
                    <m:rPr/>
                    <w:rPr>
                      <w:rFonts w:ascii="Cambria Math" w:hAnsi="Cambria Math"/>
                    </w:rPr>
                    <m:t>U</m:t>
                  </m:r>
                  <m:ctrlPr>
                    <w:rPr>
                      <w:rFonts w:ascii="Cambria Math" w:hAnsi="Cambria Math"/>
                      <w:i/>
                    </w:rPr>
                  </m:ctrlPr>
                </m:e>
                <m:sup>
                  <m:r>
                    <m:rPr/>
                    <w:rPr>
                      <w:rFonts w:ascii="Cambria Math" w:hAnsi="Cambria Math"/>
                    </w:rPr>
                    <m:t>+</m:t>
                  </m:r>
                  <m:ctrlPr>
                    <w:rPr>
                      <w:rFonts w:ascii="Cambria Math" w:hAnsi="Cambria Math"/>
                      <w:i/>
                    </w:rPr>
                  </m:ctrlPr>
                </m:sup>
              </m:sSup>
            </m:oMath>
            <w:r>
              <w:rPr>
                <w:rFonts w:hint="eastAsia"/>
              </w:rPr>
              <w:t>相应的水平剪力（kN）；</w:t>
            </w:r>
          </w:p>
          <w:p w14:paraId="7B2DBE45">
            <w:pPr>
              <w:pStyle w:val="72"/>
              <w:ind w:firstLine="424" w:firstLineChars="202"/>
            </w:pPr>
            <m:oMath>
              <m:sSup>
                <m:sSupPr>
                  <m:ctrlPr>
                    <w:rPr>
                      <w:rFonts w:ascii="Cambria Math" w:hAnsi="Cambria Math"/>
                      <w:i/>
                    </w:rPr>
                  </m:ctrlPr>
                </m:sSupPr>
                <m:e>
                  <m:r>
                    <m:rPr/>
                    <w:rPr>
                      <w:rFonts w:ascii="Cambria Math" w:hAnsi="Cambria Math"/>
                    </w:rPr>
                    <m:t>Q</m:t>
                  </m:r>
                  <m:ctrlPr>
                    <w:rPr>
                      <w:rFonts w:ascii="Cambria Math" w:hAnsi="Cambria Math"/>
                      <w:i/>
                    </w:rPr>
                  </m:ctrlPr>
                </m:e>
                <m:sup>
                  <m:r>
                    <m:rPr/>
                    <w:rPr>
                      <w:rFonts w:ascii="Cambria Math" w:hAnsi="Cambria Math"/>
                    </w:rPr>
                    <m:t>−</m:t>
                  </m:r>
                  <m:ctrlPr>
                    <w:rPr>
                      <w:rFonts w:ascii="Cambria Math" w:hAnsi="Cambria Math"/>
                      <w:i/>
                    </w:rPr>
                  </m:ctrlPr>
                </m:sup>
              </m:sSup>
            </m:oMath>
            <w:r>
              <w:t>——</w:t>
            </w:r>
            <w:r>
              <w:rPr>
                <w:rFonts w:hint="eastAsia"/>
              </w:rPr>
              <w:t>与</w:t>
            </w:r>
            <m:oMath>
              <m:sSup>
                <m:sSupPr>
                  <m:ctrlPr>
                    <w:rPr>
                      <w:rFonts w:ascii="Cambria Math" w:hAnsi="Cambria Math"/>
                      <w:i/>
                    </w:rPr>
                  </m:ctrlPr>
                </m:sSupPr>
                <m:e>
                  <m:r>
                    <m:rPr/>
                    <w:rPr>
                      <w:rFonts w:ascii="Cambria Math" w:hAnsi="Cambria Math"/>
                    </w:rPr>
                    <m:t>U</m:t>
                  </m:r>
                  <m:ctrlPr>
                    <w:rPr>
                      <w:rFonts w:ascii="Cambria Math" w:hAnsi="Cambria Math"/>
                      <w:i/>
                    </w:rPr>
                  </m:ctrlPr>
                </m:e>
                <m:sup>
                  <m:r>
                    <m:rPr/>
                    <w:rPr>
                      <w:rFonts w:ascii="Cambria Math" w:hAnsi="Cambria Math"/>
                    </w:rPr>
                    <m:t>−</m:t>
                  </m:r>
                  <m:ctrlPr>
                    <w:rPr>
                      <w:rFonts w:ascii="Cambria Math" w:hAnsi="Cambria Math"/>
                      <w:i/>
                    </w:rPr>
                  </m:ctrlPr>
                </m:sup>
              </m:sSup>
            </m:oMath>
            <w:r>
              <w:rPr>
                <w:rFonts w:hint="eastAsia"/>
              </w:rPr>
              <w:t>相应的水平剪力（kN）。</w:t>
            </w:r>
          </w:p>
          <w:p w14:paraId="24E94A77">
            <w:pPr>
              <w:pStyle w:val="72"/>
              <w:ind w:firstLine="420"/>
            </w:pPr>
          </w:p>
        </w:tc>
        <w:tc>
          <w:tcPr>
            <w:tcW w:w="5126" w:type="dxa"/>
          </w:tcPr>
          <w:p w14:paraId="24DA7233">
            <w:pPr>
              <w:pStyle w:val="74"/>
              <w:numPr>
                <w:ilvl w:val="3"/>
                <w:numId w:val="0"/>
              </w:numPr>
              <w:rPr>
                <w:rFonts w:hint="eastAsia" w:ascii="黑体" w:hAnsi="黑体"/>
              </w:rPr>
            </w:pPr>
            <w:r>
              <w:rPr>
                <w:rFonts w:hint="eastAsia" w:ascii="黑体" w:hAnsi="黑体"/>
              </w:rPr>
              <w:t>7.4.7水平等效刚度</w:t>
            </w:r>
          </w:p>
          <w:p w14:paraId="6B5BE67E">
            <w:pPr>
              <w:pStyle w:val="72"/>
              <w:ind w:firstLine="420"/>
            </w:pPr>
            <w:r>
              <w:rPr>
                <w:rFonts w:hint="eastAsia"/>
              </w:rPr>
              <w:t>对被试支座在产品的设计压应力作用下，进行剪应变</w:t>
            </w:r>
            <w:r>
              <w:rPr>
                <w:rFonts w:hint="eastAsia" w:hAnsi="宋体"/>
              </w:rPr>
              <w:t>γ为</w:t>
            </w:r>
            <w:r>
              <w:t>100%</w:t>
            </w:r>
            <w:r>
              <w:rPr>
                <w:rFonts w:hint="eastAsia"/>
              </w:rPr>
              <w:t>和</w:t>
            </w:r>
            <w:r>
              <w:t>250%</w:t>
            </w:r>
            <w:r>
              <w:rPr>
                <w:rFonts w:hint="eastAsia"/>
                <w:u w:val="single"/>
              </w:rPr>
              <w:t>（仅型式检验）</w:t>
            </w:r>
            <w:r>
              <w:rPr>
                <w:rFonts w:hint="eastAsia"/>
              </w:rPr>
              <w:t>，加载频率</w:t>
            </w:r>
            <w:r>
              <w:t>f</w:t>
            </w:r>
            <w:r>
              <w:rPr>
                <w:rFonts w:hint="eastAsia"/>
              </w:rPr>
              <w:t>不低于</w:t>
            </w:r>
            <w:r>
              <w:t>0.02Hz</w:t>
            </w:r>
            <w:r>
              <w:rPr>
                <w:rFonts w:hint="eastAsia"/>
              </w:rPr>
              <w:t>，水平加载波形为正弦波的动力加载试验。以对应于正剪应变</w:t>
            </w:r>
            <w:r>
              <w:rPr>
                <w:rFonts w:hint="eastAsia" w:hAnsi="宋体"/>
              </w:rPr>
              <w:t>γ</w:t>
            </w:r>
            <w:r>
              <w:rPr>
                <w:rFonts w:hint="eastAsia"/>
              </w:rPr>
              <w:t>和负剪应变</w:t>
            </w:r>
            <w:r>
              <w:t>-</w:t>
            </w:r>
            <w:r>
              <w:rPr>
                <w:rFonts w:hint="eastAsia" w:hAnsi="宋体"/>
              </w:rPr>
              <w:t>γ</w:t>
            </w:r>
            <w:r>
              <w:rPr>
                <w:rFonts w:hint="eastAsia"/>
              </w:rPr>
              <w:t>的水平位移作为最大水平正位移和负位移，连续作出</w:t>
            </w:r>
            <w:r>
              <w:t>3</w:t>
            </w:r>
            <w:r>
              <w:rPr>
                <w:rFonts w:hint="eastAsia"/>
              </w:rPr>
              <w:t>条滞回曲线。用第</w:t>
            </w:r>
            <w:r>
              <w:t>3</w:t>
            </w:r>
            <w:r>
              <w:rPr>
                <w:rFonts w:hint="eastAsia"/>
              </w:rPr>
              <w:t>条滞回曲线，按下式计算支座的水平等效刚度：</w:t>
            </w:r>
          </w:p>
          <w:p w14:paraId="3FA6530E">
            <w:pPr>
              <w:pStyle w:val="72"/>
              <w:ind w:firstLine="420"/>
            </w:pPr>
            <w:r>
              <w:drawing>
                <wp:inline distT="0" distB="0" distL="114300" distR="114300">
                  <wp:extent cx="2795905" cy="316230"/>
                  <wp:effectExtent l="0" t="0" r="4445" b="7620"/>
                  <wp:docPr id="52"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3"/>
                          <pic:cNvPicPr>
                            <a:picLocks noChangeAspect="1"/>
                          </pic:cNvPicPr>
                        </pic:nvPicPr>
                        <pic:blipFill>
                          <a:blip r:embed="rId31"/>
                          <a:stretch>
                            <a:fillRect/>
                          </a:stretch>
                        </pic:blipFill>
                        <pic:spPr>
                          <a:xfrm>
                            <a:off x="0" y="0"/>
                            <a:ext cx="2795905" cy="316230"/>
                          </a:xfrm>
                          <a:prstGeom prst="rect">
                            <a:avLst/>
                          </a:prstGeom>
                          <a:noFill/>
                          <a:ln>
                            <a:noFill/>
                          </a:ln>
                        </pic:spPr>
                      </pic:pic>
                    </a:graphicData>
                  </a:graphic>
                </wp:inline>
              </w:drawing>
            </w:r>
          </w:p>
          <w:p w14:paraId="6ACD0D7C">
            <w:pPr>
              <w:pStyle w:val="72"/>
              <w:ind w:firstLine="420"/>
            </w:pPr>
            <w:r>
              <w:rPr>
                <w:rFonts w:hint="eastAsia"/>
              </w:rPr>
              <w:t>式中：</w:t>
            </w:r>
          </w:p>
          <w:p w14:paraId="578B403D">
            <w:pPr>
              <w:pStyle w:val="72"/>
              <w:ind w:firstLine="409" w:firstLineChars="195"/>
            </w:pPr>
            <m:oMath>
              <m:sSub>
                <m:sSubPr>
                  <m:ctrlPr>
                    <w:rPr>
                      <w:rFonts w:ascii="Cambria Math" w:hAnsi="Cambria Math"/>
                    </w:rPr>
                  </m:ctrlPr>
                </m:sSubPr>
                <m:e>
                  <m:r>
                    <m:rPr/>
                    <w:rPr>
                      <w:rFonts w:ascii="Cambria Math" w:hAnsi="Cambria Math"/>
                    </w:rPr>
                    <m:t xml:space="preserve"> K</m:t>
                  </m:r>
                  <m:ctrlPr>
                    <w:rPr>
                      <w:rFonts w:ascii="Cambria Math" w:hAnsi="Cambria Math"/>
                    </w:rPr>
                  </m:ctrlPr>
                </m:e>
                <m:sub>
                  <m:r>
                    <m:rPr>
                      <m:sty m:val="p"/>
                    </m:rPr>
                    <w:rPr>
                      <w:rFonts w:ascii="Cambria Math" w:hAnsi="Cambria Math"/>
                    </w:rPr>
                    <m:t>h</m:t>
                  </m:r>
                  <m:ctrlPr>
                    <w:rPr>
                      <w:rFonts w:ascii="Cambria Math" w:hAnsi="Cambria Math"/>
                    </w:rPr>
                  </m:ctrlPr>
                </m:sub>
              </m:sSub>
            </m:oMath>
            <w:r>
              <w:t>——</w:t>
            </w:r>
            <w:r>
              <w:rPr>
                <w:rFonts w:hint="eastAsia"/>
              </w:rPr>
              <w:t>水平等效刚度（kN/m）；</w:t>
            </w:r>
          </w:p>
          <w:p w14:paraId="142C371C">
            <w:pPr>
              <w:pStyle w:val="72"/>
              <w:ind w:firstLine="424" w:firstLineChars="202"/>
            </w:pPr>
            <m:oMath>
              <m:sSup>
                <m:sSupPr>
                  <m:ctrlPr>
                    <w:rPr>
                      <w:rFonts w:ascii="Cambria Math" w:hAnsi="Cambria Math"/>
                      <w:i/>
                    </w:rPr>
                  </m:ctrlPr>
                </m:sSupPr>
                <m:e>
                  <m:r>
                    <m:rPr/>
                    <w:rPr>
                      <w:rFonts w:ascii="Cambria Math" w:hAnsi="Cambria Math"/>
                    </w:rPr>
                    <m:t>U</m:t>
                  </m:r>
                  <m:ctrlPr>
                    <w:rPr>
                      <w:rFonts w:ascii="Cambria Math" w:hAnsi="Cambria Math"/>
                      <w:i/>
                    </w:rPr>
                  </m:ctrlPr>
                </m:e>
                <m:sup>
                  <m:r>
                    <m:rPr/>
                    <w:rPr>
                      <w:rFonts w:ascii="Cambria Math" w:hAnsi="Cambria Math"/>
                    </w:rPr>
                    <m:t>+</m:t>
                  </m:r>
                  <m:ctrlPr>
                    <w:rPr>
                      <w:rFonts w:ascii="Cambria Math" w:hAnsi="Cambria Math"/>
                      <w:i/>
                    </w:rPr>
                  </m:ctrlPr>
                </m:sup>
              </m:sSup>
            </m:oMath>
            <w:r>
              <w:t>——</w:t>
            </w:r>
            <w:r>
              <w:rPr>
                <w:rFonts w:hint="eastAsia"/>
              </w:rPr>
              <w:t>最大水平正位移（mm）；</w:t>
            </w:r>
          </w:p>
          <w:p w14:paraId="7F4AE391">
            <w:pPr>
              <w:pStyle w:val="72"/>
              <w:ind w:firstLine="424" w:firstLineChars="202"/>
            </w:pPr>
            <m:oMath>
              <m:sSup>
                <m:sSupPr>
                  <m:ctrlPr>
                    <w:rPr>
                      <w:rFonts w:ascii="Cambria Math" w:hAnsi="Cambria Math"/>
                      <w:i/>
                    </w:rPr>
                  </m:ctrlPr>
                </m:sSupPr>
                <m:e>
                  <m:r>
                    <m:rPr/>
                    <w:rPr>
                      <w:rFonts w:ascii="Cambria Math" w:hAnsi="Cambria Math"/>
                    </w:rPr>
                    <m:t>U</m:t>
                  </m:r>
                  <m:ctrlPr>
                    <w:rPr>
                      <w:rFonts w:ascii="Cambria Math" w:hAnsi="Cambria Math"/>
                      <w:i/>
                    </w:rPr>
                  </m:ctrlPr>
                </m:e>
                <m:sup>
                  <m:r>
                    <m:rPr/>
                    <w:rPr>
                      <w:rFonts w:ascii="Cambria Math" w:hAnsi="Cambria Math"/>
                    </w:rPr>
                    <m:t>−</m:t>
                  </m:r>
                  <m:ctrlPr>
                    <w:rPr>
                      <w:rFonts w:ascii="Cambria Math" w:hAnsi="Cambria Math"/>
                      <w:i/>
                    </w:rPr>
                  </m:ctrlPr>
                </m:sup>
              </m:sSup>
            </m:oMath>
            <w:r>
              <w:t>——</w:t>
            </w:r>
            <w:r>
              <w:rPr>
                <w:rFonts w:hint="eastAsia"/>
              </w:rPr>
              <w:t xml:space="preserve">最大水平负位移（mm）； </w:t>
            </w:r>
          </w:p>
          <w:p w14:paraId="77092CEE">
            <w:pPr>
              <w:pStyle w:val="72"/>
              <w:ind w:firstLine="424" w:firstLineChars="202"/>
            </w:pPr>
            <m:oMath>
              <m:sSup>
                <m:sSupPr>
                  <m:ctrlPr>
                    <w:rPr>
                      <w:rFonts w:ascii="Cambria Math" w:hAnsi="Cambria Math"/>
                      <w:i/>
                    </w:rPr>
                  </m:ctrlPr>
                </m:sSupPr>
                <m:e>
                  <m:r>
                    <m:rPr/>
                    <w:rPr>
                      <w:rFonts w:ascii="Cambria Math" w:hAnsi="Cambria Math"/>
                    </w:rPr>
                    <m:t>Q</m:t>
                  </m:r>
                  <m:ctrlPr>
                    <w:rPr>
                      <w:rFonts w:ascii="Cambria Math" w:hAnsi="Cambria Math"/>
                      <w:i/>
                    </w:rPr>
                  </m:ctrlPr>
                </m:e>
                <m:sup>
                  <m:r>
                    <m:rPr/>
                    <w:rPr>
                      <w:rFonts w:ascii="Cambria Math" w:hAnsi="Cambria Math"/>
                    </w:rPr>
                    <m:t>+</m:t>
                  </m:r>
                  <m:ctrlPr>
                    <w:rPr>
                      <w:rFonts w:ascii="Cambria Math" w:hAnsi="Cambria Math"/>
                      <w:i/>
                    </w:rPr>
                  </m:ctrlPr>
                </m:sup>
              </m:sSup>
            </m:oMath>
            <w:r>
              <w:t>——</w:t>
            </w:r>
            <w:r>
              <w:rPr>
                <w:rFonts w:hint="eastAsia"/>
              </w:rPr>
              <w:t>与</w:t>
            </w:r>
            <m:oMath>
              <m:sSup>
                <m:sSupPr>
                  <m:ctrlPr>
                    <w:rPr>
                      <w:rFonts w:ascii="Cambria Math" w:hAnsi="Cambria Math"/>
                      <w:i/>
                    </w:rPr>
                  </m:ctrlPr>
                </m:sSupPr>
                <m:e>
                  <m:r>
                    <m:rPr/>
                    <w:rPr>
                      <w:rFonts w:ascii="Cambria Math" w:hAnsi="Cambria Math"/>
                    </w:rPr>
                    <m:t>U</m:t>
                  </m:r>
                  <m:ctrlPr>
                    <w:rPr>
                      <w:rFonts w:ascii="Cambria Math" w:hAnsi="Cambria Math"/>
                      <w:i/>
                    </w:rPr>
                  </m:ctrlPr>
                </m:e>
                <m:sup>
                  <m:r>
                    <m:rPr/>
                    <w:rPr>
                      <w:rFonts w:ascii="Cambria Math" w:hAnsi="Cambria Math"/>
                    </w:rPr>
                    <m:t>+</m:t>
                  </m:r>
                  <m:ctrlPr>
                    <w:rPr>
                      <w:rFonts w:ascii="Cambria Math" w:hAnsi="Cambria Math"/>
                      <w:i/>
                    </w:rPr>
                  </m:ctrlPr>
                </m:sup>
              </m:sSup>
            </m:oMath>
            <w:r>
              <w:rPr>
                <w:rFonts w:hint="eastAsia"/>
              </w:rPr>
              <w:t>相应的水平剪力（kN）；</w:t>
            </w:r>
          </w:p>
          <w:p w14:paraId="360D9F06">
            <w:pPr>
              <w:pStyle w:val="72"/>
              <w:ind w:firstLine="424" w:firstLineChars="202"/>
            </w:pPr>
            <m:oMath>
              <m:sSup>
                <m:sSupPr>
                  <m:ctrlPr>
                    <w:rPr>
                      <w:rFonts w:ascii="Cambria Math" w:hAnsi="Cambria Math"/>
                      <w:i/>
                    </w:rPr>
                  </m:ctrlPr>
                </m:sSupPr>
                <m:e>
                  <m:r>
                    <m:rPr/>
                    <w:rPr>
                      <w:rFonts w:ascii="Cambria Math" w:hAnsi="Cambria Math"/>
                    </w:rPr>
                    <m:t>Q</m:t>
                  </m:r>
                  <m:ctrlPr>
                    <w:rPr>
                      <w:rFonts w:ascii="Cambria Math" w:hAnsi="Cambria Math"/>
                      <w:i/>
                    </w:rPr>
                  </m:ctrlPr>
                </m:e>
                <m:sup>
                  <m:r>
                    <m:rPr/>
                    <w:rPr>
                      <w:rFonts w:ascii="Cambria Math" w:hAnsi="Cambria Math"/>
                    </w:rPr>
                    <m:t>−</m:t>
                  </m:r>
                  <m:ctrlPr>
                    <w:rPr>
                      <w:rFonts w:ascii="Cambria Math" w:hAnsi="Cambria Math"/>
                      <w:i/>
                    </w:rPr>
                  </m:ctrlPr>
                </m:sup>
              </m:sSup>
            </m:oMath>
            <w:r>
              <w:t>——</w:t>
            </w:r>
            <w:r>
              <w:rPr>
                <w:rFonts w:hint="eastAsia"/>
              </w:rPr>
              <w:t>与</w:t>
            </w:r>
            <m:oMath>
              <m:sSup>
                <m:sSupPr>
                  <m:ctrlPr>
                    <w:rPr>
                      <w:rFonts w:ascii="Cambria Math" w:hAnsi="Cambria Math"/>
                      <w:i/>
                    </w:rPr>
                  </m:ctrlPr>
                </m:sSupPr>
                <m:e>
                  <m:r>
                    <m:rPr/>
                    <w:rPr>
                      <w:rFonts w:ascii="Cambria Math" w:hAnsi="Cambria Math"/>
                    </w:rPr>
                    <m:t>U</m:t>
                  </m:r>
                  <m:ctrlPr>
                    <w:rPr>
                      <w:rFonts w:ascii="Cambria Math" w:hAnsi="Cambria Math"/>
                      <w:i/>
                    </w:rPr>
                  </m:ctrlPr>
                </m:e>
                <m:sup>
                  <m:r>
                    <m:rPr/>
                    <w:rPr>
                      <w:rFonts w:ascii="Cambria Math" w:hAnsi="Cambria Math"/>
                    </w:rPr>
                    <m:t>−</m:t>
                  </m:r>
                  <m:ctrlPr>
                    <w:rPr>
                      <w:rFonts w:ascii="Cambria Math" w:hAnsi="Cambria Math"/>
                      <w:i/>
                    </w:rPr>
                  </m:ctrlPr>
                </m:sup>
              </m:sSup>
            </m:oMath>
            <w:r>
              <w:rPr>
                <w:rFonts w:hint="eastAsia"/>
              </w:rPr>
              <w:t>相应的水平剪力（kN）。</w:t>
            </w:r>
          </w:p>
          <w:p w14:paraId="439A66B2">
            <w:pPr>
              <w:pStyle w:val="72"/>
              <w:ind w:firstLine="420"/>
            </w:pPr>
          </w:p>
        </w:tc>
      </w:tr>
      <w:tr w14:paraId="6159F2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02A2C222">
            <w:pPr>
              <w:pStyle w:val="74"/>
              <w:numPr>
                <w:ilvl w:val="3"/>
                <w:numId w:val="0"/>
              </w:numPr>
              <w:rPr>
                <w:rFonts w:hint="eastAsia" w:ascii="黑体" w:hAnsi="黑体"/>
              </w:rPr>
            </w:pPr>
            <w:r>
              <w:rPr>
                <w:rFonts w:hint="eastAsia" w:ascii="黑体" w:hAnsi="黑体"/>
              </w:rPr>
              <w:t>7.4.8屈服后水平刚度</w:t>
            </w:r>
          </w:p>
          <w:p w14:paraId="38FE460E">
            <w:pPr>
              <w:pStyle w:val="72"/>
              <w:ind w:firstLine="420"/>
            </w:pPr>
            <w:r>
              <w:rPr>
                <w:rFonts w:hint="eastAsia"/>
              </w:rPr>
              <w:t>当试验</w:t>
            </w:r>
            <w:r>
              <w:t>滞回曲线</w:t>
            </w:r>
            <w:r>
              <w:rPr>
                <w:rFonts w:hint="eastAsia"/>
              </w:rPr>
              <w:t>比较</w:t>
            </w:r>
            <w:r>
              <w:t>理想，具有明显的最大位移</w:t>
            </w:r>
            <w:r>
              <w:rPr>
                <w:rFonts w:hint="eastAsia"/>
              </w:rPr>
              <w:t>和</w:t>
            </w:r>
            <w:r>
              <w:t>最大剪力特征点</w:t>
            </w:r>
            <w:r>
              <w:rPr>
                <w:rFonts w:hint="eastAsia"/>
              </w:rPr>
              <w:t>以及与</w:t>
            </w:r>
            <w:r>
              <w:t>剪力轴的交点，</w:t>
            </w:r>
            <w:r>
              <w:rPr>
                <w:rFonts w:hint="eastAsia"/>
              </w:rPr>
              <w:t>铅芯橡胶支座和</w:t>
            </w:r>
            <w:r>
              <w:t>高阻尼</w:t>
            </w:r>
            <w:r>
              <w:rPr>
                <w:rFonts w:hint="eastAsia"/>
              </w:rPr>
              <w:t>橡胶</w:t>
            </w:r>
            <w:r>
              <w:t>支座</w:t>
            </w:r>
            <w:r>
              <w:rPr>
                <w:rFonts w:hint="eastAsia"/>
              </w:rPr>
              <w:t>的</w:t>
            </w:r>
            <w:r>
              <w:t>屈服后水平刚度</w:t>
            </w:r>
            <m:oMath>
              <m:sSub>
                <m:sSubPr>
                  <m:ctrlPr>
                    <w:rPr>
                      <w:rFonts w:ascii="Cambria Math" w:hAnsi="Cambria Math"/>
                    </w:rPr>
                  </m:ctrlPr>
                </m:sSubPr>
                <m:e>
                  <m:r>
                    <m:rPr/>
                    <w:rPr>
                      <w:rFonts w:ascii="Cambria Math" w:hAnsi="Cambria Math"/>
                    </w:rPr>
                    <m:t>K</m:t>
                  </m:r>
                  <m:ctrlPr>
                    <w:rPr>
                      <w:rFonts w:ascii="Cambria Math" w:hAnsi="Cambria Math"/>
                    </w:rPr>
                  </m:ctrlPr>
                </m:e>
                <m:sub>
                  <m:r>
                    <m:rPr>
                      <m:sty m:val="p"/>
                    </m:rPr>
                    <w:rPr>
                      <w:rFonts w:ascii="Cambria Math" w:hAnsi="Cambria Math"/>
                    </w:rPr>
                    <m:t>d</m:t>
                  </m:r>
                  <m:ctrlPr>
                    <w:rPr>
                      <w:rFonts w:ascii="Cambria Math" w:hAnsi="Cambria Math"/>
                    </w:rPr>
                  </m:ctrlPr>
                </m:sub>
              </m:sSub>
            </m:oMath>
            <w:r>
              <w:t>可</w:t>
            </w:r>
            <w:r>
              <w:rPr>
                <w:rFonts w:hint="eastAsia"/>
              </w:rPr>
              <w:t>按</w:t>
            </w:r>
            <w:r>
              <w:t>下列方法</w:t>
            </w:r>
            <w:r>
              <w:rPr>
                <w:rFonts w:hint="eastAsia"/>
              </w:rPr>
              <w:t>一确定</w:t>
            </w:r>
            <w:r>
              <w:t>，否</w:t>
            </w:r>
            <w:r>
              <w:rPr>
                <w:rFonts w:hint="eastAsia"/>
              </w:rPr>
              <w:t>则按</w:t>
            </w:r>
            <w:r>
              <w:t>方法二确定</w:t>
            </w:r>
            <w:r>
              <w:rPr>
                <w:rFonts w:hint="eastAsia"/>
              </w:rPr>
              <w:t>：</w:t>
            </w:r>
          </w:p>
          <w:p w14:paraId="0DD2474E">
            <w:pPr>
              <w:pStyle w:val="72"/>
              <w:ind w:firstLine="409" w:firstLineChars="195"/>
            </w:pPr>
            <w:r>
              <w:rPr>
                <w:rFonts w:hint="eastAsia"/>
              </w:rPr>
              <w:t>a )方法</w:t>
            </w:r>
            <w:r>
              <w:t>一</w:t>
            </w:r>
            <w:r>
              <w:rPr>
                <w:rFonts w:hint="eastAsia"/>
              </w:rPr>
              <w:t>：</w:t>
            </w:r>
          </w:p>
          <w:p w14:paraId="57063900">
            <w:pPr>
              <w:pStyle w:val="72"/>
              <w:ind w:firstLine="420"/>
            </w:pPr>
            <w:r>
              <w:rPr>
                <w:rFonts w:hint="eastAsia"/>
              </w:rPr>
              <w:t>对于铅芯橡胶支座和</w:t>
            </w:r>
            <w:r>
              <w:t>高阻尼</w:t>
            </w:r>
            <w:r>
              <w:rPr>
                <w:rFonts w:hint="eastAsia"/>
              </w:rPr>
              <w:t>橡胶</w:t>
            </w:r>
            <w:r>
              <w:t>支座</w:t>
            </w:r>
            <w:r>
              <w:rPr>
                <w:rFonts w:hint="eastAsia"/>
              </w:rPr>
              <w:t>，屈服后水平刚度应根据</w:t>
            </w:r>
            <w:r>
              <w:rPr>
                <w:rFonts w:hint="eastAsia" w:hAnsi="宋体"/>
              </w:rPr>
              <w:t>γ</w:t>
            </w:r>
            <w:r>
              <w:t>=100%</w:t>
            </w:r>
            <w:r>
              <w:rPr>
                <w:rFonts w:hint="eastAsia"/>
              </w:rPr>
              <w:t>，加载频率</w:t>
            </w:r>
            <w:r>
              <w:t>f</w:t>
            </w:r>
            <w:r>
              <w:rPr>
                <w:rFonts w:hint="eastAsia"/>
              </w:rPr>
              <w:t>不低于</w:t>
            </w:r>
            <w:r>
              <w:t>0.02Hz</w:t>
            </w:r>
            <w:r>
              <w:rPr>
                <w:rFonts w:hint="eastAsia"/>
              </w:rPr>
              <w:t>试验的第</w:t>
            </w:r>
            <w:r>
              <w:t>3</w:t>
            </w:r>
            <w:r>
              <w:rPr>
                <w:rFonts w:hint="eastAsia"/>
              </w:rPr>
              <w:t>条滞回曲线按式(3)确定：</w:t>
            </w:r>
          </w:p>
          <w:p w14:paraId="24C5A1A6">
            <w:pPr>
              <w:pStyle w:val="72"/>
              <w:ind w:firstLine="420"/>
            </w:pPr>
            <w:r>
              <w:drawing>
                <wp:inline distT="0" distB="0" distL="114300" distR="114300">
                  <wp:extent cx="2664460" cy="389890"/>
                  <wp:effectExtent l="0" t="0" r="2540" b="10160"/>
                  <wp:docPr id="53"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4"/>
                          <pic:cNvPicPr>
                            <a:picLocks noChangeAspect="1"/>
                          </pic:cNvPicPr>
                        </pic:nvPicPr>
                        <pic:blipFill>
                          <a:blip r:embed="rId32"/>
                          <a:stretch>
                            <a:fillRect/>
                          </a:stretch>
                        </pic:blipFill>
                        <pic:spPr>
                          <a:xfrm>
                            <a:off x="0" y="0"/>
                            <a:ext cx="2664460" cy="389890"/>
                          </a:xfrm>
                          <a:prstGeom prst="rect">
                            <a:avLst/>
                          </a:prstGeom>
                          <a:noFill/>
                          <a:ln>
                            <a:noFill/>
                          </a:ln>
                        </pic:spPr>
                      </pic:pic>
                    </a:graphicData>
                  </a:graphic>
                </wp:inline>
              </w:drawing>
            </w:r>
          </w:p>
          <w:p w14:paraId="4CD71F51">
            <w:pPr>
              <w:pStyle w:val="72"/>
              <w:ind w:firstLine="424" w:firstLineChars="202"/>
            </w:pPr>
            <w:r>
              <w:rPr>
                <w:rFonts w:hint="eastAsia"/>
              </w:rPr>
              <w:t>式中：</w:t>
            </w:r>
          </w:p>
          <w:p w14:paraId="73D9413C">
            <w:pPr>
              <w:pStyle w:val="72"/>
              <w:ind w:firstLine="424" w:firstLineChars="202"/>
            </w:pPr>
            <m:oMath>
              <m:sSub>
                <m:sSubPr>
                  <m:ctrlPr>
                    <w:rPr>
                      <w:rFonts w:ascii="Cambria Math" w:hAnsi="Cambria Math"/>
                    </w:rPr>
                  </m:ctrlPr>
                </m:sSubPr>
                <m:e>
                  <m:r>
                    <m:rPr/>
                    <w:rPr>
                      <w:rFonts w:ascii="Cambria Math" w:hAnsi="Cambria Math"/>
                    </w:rPr>
                    <m:t>K</m:t>
                  </m:r>
                  <m:ctrlPr>
                    <w:rPr>
                      <w:rFonts w:ascii="Cambria Math" w:hAnsi="Cambria Math"/>
                    </w:rPr>
                  </m:ctrlPr>
                </m:e>
                <m:sub>
                  <m:r>
                    <m:rPr>
                      <m:sty m:val="p"/>
                    </m:rPr>
                    <w:rPr>
                      <w:rFonts w:ascii="Cambria Math" w:hAnsi="Cambria Math"/>
                    </w:rPr>
                    <m:t>d</m:t>
                  </m:r>
                  <m:ctrlPr>
                    <w:rPr>
                      <w:rFonts w:ascii="Cambria Math" w:hAnsi="Cambria Math"/>
                    </w:rPr>
                  </m:ctrlPr>
                </m:sub>
              </m:sSub>
            </m:oMath>
            <w:r>
              <w:t>——</w:t>
            </w:r>
            <w:r>
              <w:rPr>
                <w:rFonts w:hint="eastAsia"/>
              </w:rPr>
              <w:t>屈服后水平刚度（kN/m;</w:t>
            </w:r>
          </w:p>
          <w:p w14:paraId="70A8A0B1">
            <w:pPr>
              <w:pStyle w:val="72"/>
              <w:ind w:firstLine="424" w:firstLineChars="202"/>
            </w:pPr>
            <m:oMath>
              <m:sSubSup>
                <m:sSubSupPr>
                  <m:ctrlPr>
                    <w:rPr>
                      <w:rFonts w:ascii="Cambria Math" w:hAnsi="Cambria Math"/>
                      <w:i/>
                    </w:rPr>
                  </m:ctrlPr>
                </m:sSubSupPr>
                <m:e>
                  <m:r>
                    <m:rPr/>
                    <w:rPr>
                      <w:rFonts w:ascii="Cambria Math" w:hAnsi="Cambria Math"/>
                    </w:rPr>
                    <m:t>U</m:t>
                  </m:r>
                  <m:ctrlPr>
                    <w:rPr>
                      <w:rFonts w:ascii="Cambria Math" w:hAnsi="Cambria Math"/>
                      <w:i/>
                    </w:rPr>
                  </m:ctrlPr>
                </m:e>
                <m:sub>
                  <m:r>
                    <m:rPr>
                      <m:sty m:val="p"/>
                    </m:rPr>
                    <w:rPr>
                      <w:rFonts w:ascii="Cambria Math" w:hAnsi="Cambria Math"/>
                    </w:rPr>
                    <m:t>y</m:t>
                  </m:r>
                  <m:ctrlPr>
                    <w:rPr>
                      <w:rFonts w:ascii="Cambria Math" w:hAnsi="Cambria Math"/>
                      <w:i/>
                    </w:rPr>
                  </m:ctrlPr>
                </m:sub>
                <m:sup>
                  <m:r>
                    <m:rPr/>
                    <w:rPr>
                      <w:rFonts w:ascii="Cambria Math" w:hAnsi="Cambria Math"/>
                    </w:rPr>
                    <m:t>+</m:t>
                  </m:r>
                  <m:ctrlPr>
                    <w:rPr>
                      <w:rFonts w:ascii="Cambria Math" w:hAnsi="Cambria Math"/>
                      <w:i/>
                    </w:rPr>
                  </m:ctrlPr>
                </m:sup>
              </m:sSubSup>
            </m:oMath>
            <w:r>
              <w:t>——</w:t>
            </w:r>
            <w:r>
              <w:rPr>
                <w:rFonts w:hint="eastAsia"/>
              </w:rPr>
              <w:t>正方向屈服位移（mm）;</w:t>
            </w:r>
          </w:p>
          <w:p w14:paraId="102996EC">
            <w:pPr>
              <w:pStyle w:val="72"/>
              <w:ind w:firstLine="424" w:firstLineChars="202"/>
            </w:pPr>
            <m:oMath>
              <m:sSubSup>
                <m:sSubSupPr>
                  <m:ctrlPr>
                    <w:rPr>
                      <w:rFonts w:ascii="Cambria Math" w:hAnsi="Cambria Math"/>
                      <w:i/>
                    </w:rPr>
                  </m:ctrlPr>
                </m:sSubSupPr>
                <m:e>
                  <m:r>
                    <m:rPr/>
                    <w:rPr>
                      <w:rFonts w:ascii="Cambria Math" w:hAnsi="Cambria Math"/>
                    </w:rPr>
                    <m:t>U</m:t>
                  </m:r>
                  <m:ctrlPr>
                    <w:rPr>
                      <w:rFonts w:ascii="Cambria Math" w:hAnsi="Cambria Math"/>
                      <w:i/>
                    </w:rPr>
                  </m:ctrlPr>
                </m:e>
                <m:sub>
                  <m:r>
                    <m:rPr>
                      <m:sty m:val="p"/>
                    </m:rPr>
                    <w:rPr>
                      <w:rFonts w:ascii="Cambria Math" w:hAnsi="Cambria Math"/>
                    </w:rPr>
                    <m:t>y</m:t>
                  </m:r>
                  <m:ctrlPr>
                    <w:rPr>
                      <w:rFonts w:ascii="Cambria Math" w:hAnsi="Cambria Math"/>
                      <w:i/>
                    </w:rPr>
                  </m:ctrlPr>
                </m:sub>
                <m:sup>
                  <m:r>
                    <m:rPr/>
                    <w:rPr>
                      <w:rFonts w:ascii="Cambria Math" w:hAnsi="Cambria Math"/>
                    </w:rPr>
                    <m:t>−</m:t>
                  </m:r>
                  <m:ctrlPr>
                    <w:rPr>
                      <w:rFonts w:ascii="Cambria Math" w:hAnsi="Cambria Math"/>
                      <w:i/>
                    </w:rPr>
                  </m:ctrlPr>
                </m:sup>
              </m:sSubSup>
            </m:oMath>
            <w:r>
              <w:t>——</w:t>
            </w:r>
            <w:r>
              <w:rPr>
                <w:rFonts w:hint="eastAsia"/>
              </w:rPr>
              <w:t>负方向屈服位移（mm）;</w:t>
            </w:r>
          </w:p>
          <w:p w14:paraId="268F8F83">
            <w:pPr>
              <w:pStyle w:val="72"/>
              <w:ind w:firstLine="424" w:firstLineChars="202"/>
            </w:pPr>
            <m:oMath>
              <m:sSubSup>
                <m:sSubSupPr>
                  <m:ctrlPr>
                    <w:rPr>
                      <w:rFonts w:ascii="Cambria Math" w:hAnsi="Cambria Math"/>
                      <w:i/>
                    </w:rPr>
                  </m:ctrlPr>
                </m:sSubSupPr>
                <m:e>
                  <m:r>
                    <m:rPr/>
                    <w:rPr>
                      <w:rFonts w:ascii="Cambria Math" w:hAnsi="Cambria Math"/>
                    </w:rPr>
                    <m:t>Q</m:t>
                  </m:r>
                  <m:ctrlPr>
                    <w:rPr>
                      <w:rFonts w:ascii="Cambria Math" w:hAnsi="Cambria Math"/>
                      <w:i/>
                    </w:rPr>
                  </m:ctrlPr>
                </m:e>
                <m:sub>
                  <m:r>
                    <m:rPr>
                      <m:sty m:val="p"/>
                    </m:rPr>
                    <w:rPr>
                      <w:rFonts w:ascii="Cambria Math" w:hAnsi="Cambria Math"/>
                    </w:rPr>
                    <m:t>y</m:t>
                  </m:r>
                  <m:ctrlPr>
                    <w:rPr>
                      <w:rFonts w:ascii="Cambria Math" w:hAnsi="Cambria Math"/>
                      <w:i/>
                    </w:rPr>
                  </m:ctrlPr>
                </m:sub>
                <m:sup>
                  <m:r>
                    <m:rPr/>
                    <w:rPr>
                      <w:rFonts w:ascii="Cambria Math" w:hAnsi="Cambria Math"/>
                    </w:rPr>
                    <m:t>+</m:t>
                  </m:r>
                  <m:ctrlPr>
                    <w:rPr>
                      <w:rFonts w:ascii="Cambria Math" w:hAnsi="Cambria Math"/>
                      <w:i/>
                    </w:rPr>
                  </m:ctrlPr>
                </m:sup>
              </m:sSubSup>
            </m:oMath>
            <w:r>
              <w:t>——</w:t>
            </w:r>
            <w:r>
              <w:rPr>
                <w:rFonts w:hint="eastAsia"/>
              </w:rPr>
              <w:t>与</w:t>
            </w:r>
            <m:oMath>
              <m:sSubSup>
                <m:sSubSupPr>
                  <m:ctrlPr>
                    <w:rPr>
                      <w:rFonts w:ascii="Cambria Math" w:hAnsi="Cambria Math"/>
                      <w:i/>
                    </w:rPr>
                  </m:ctrlPr>
                </m:sSubSupPr>
                <m:e>
                  <m:r>
                    <m:rPr/>
                    <w:rPr>
                      <w:rFonts w:ascii="Cambria Math" w:hAnsi="Cambria Math"/>
                    </w:rPr>
                    <m:t>U</m:t>
                  </m:r>
                  <m:ctrlPr>
                    <w:rPr>
                      <w:rFonts w:ascii="Cambria Math" w:hAnsi="Cambria Math"/>
                      <w:i/>
                    </w:rPr>
                  </m:ctrlPr>
                </m:e>
                <m:sub>
                  <m:r>
                    <m:rPr/>
                    <w:rPr>
                      <w:rFonts w:ascii="Cambria Math" w:hAnsi="Cambria Math"/>
                    </w:rPr>
                    <m:t>y</m:t>
                  </m:r>
                  <m:ctrlPr>
                    <w:rPr>
                      <w:rFonts w:ascii="Cambria Math" w:hAnsi="Cambria Math"/>
                      <w:i/>
                    </w:rPr>
                  </m:ctrlPr>
                </m:sub>
                <m:sup>
                  <m:r>
                    <m:rPr/>
                    <w:rPr>
                      <w:rFonts w:ascii="Cambria Math" w:hAnsi="Cambria Math"/>
                    </w:rPr>
                    <m:t>+</m:t>
                  </m:r>
                  <m:ctrlPr>
                    <w:rPr>
                      <w:rFonts w:ascii="Cambria Math" w:hAnsi="Cambria Math"/>
                      <w:i/>
                    </w:rPr>
                  </m:ctrlPr>
                </m:sup>
              </m:sSubSup>
            </m:oMath>
            <w:r>
              <w:rPr>
                <w:rFonts w:hint="eastAsia"/>
              </w:rPr>
              <w:t>相应的水平剪力（kN）;</w:t>
            </w:r>
          </w:p>
          <w:p w14:paraId="6C815BC5">
            <w:pPr>
              <w:pStyle w:val="72"/>
              <w:ind w:firstLine="424" w:firstLineChars="202"/>
              <w:rPr>
                <w:rFonts w:hint="eastAsia" w:hAnsi="宋体"/>
              </w:rPr>
            </w:pPr>
            <m:oMath>
              <m:sSubSup>
                <m:sSubSupPr>
                  <m:ctrlPr>
                    <w:rPr>
                      <w:rFonts w:ascii="Cambria Math" w:hAnsi="Cambria Math"/>
                      <w:i/>
                    </w:rPr>
                  </m:ctrlPr>
                </m:sSubSupPr>
                <m:e>
                  <m:r>
                    <m:rPr/>
                    <w:rPr>
                      <w:rFonts w:ascii="Cambria Math" w:hAnsi="Cambria Math"/>
                    </w:rPr>
                    <m:t>Q</m:t>
                  </m:r>
                  <m:ctrlPr>
                    <w:rPr>
                      <w:rFonts w:ascii="Cambria Math" w:hAnsi="Cambria Math"/>
                      <w:i/>
                    </w:rPr>
                  </m:ctrlPr>
                </m:e>
                <m:sub>
                  <m:r>
                    <m:rPr>
                      <m:sty m:val="p"/>
                    </m:rPr>
                    <w:rPr>
                      <w:rFonts w:ascii="Cambria Math" w:hAnsi="Cambria Math"/>
                    </w:rPr>
                    <m:t>y</m:t>
                  </m:r>
                  <m:ctrlPr>
                    <w:rPr>
                      <w:rFonts w:ascii="Cambria Math" w:hAnsi="Cambria Math"/>
                      <w:i/>
                    </w:rPr>
                  </m:ctrlPr>
                </m:sub>
                <m:sup>
                  <m:r>
                    <m:rPr/>
                    <w:rPr>
                      <w:rFonts w:ascii="Cambria Math" w:hAnsi="Cambria Math"/>
                    </w:rPr>
                    <m:t>−</m:t>
                  </m:r>
                  <m:ctrlPr>
                    <w:rPr>
                      <w:rFonts w:ascii="Cambria Math" w:hAnsi="Cambria Math"/>
                      <w:i/>
                    </w:rPr>
                  </m:ctrlPr>
                </m:sup>
              </m:sSubSup>
            </m:oMath>
            <w:r>
              <w:t>——</w:t>
            </w:r>
            <w:r>
              <w:rPr>
                <w:rFonts w:hint="eastAsia"/>
              </w:rPr>
              <w:t>与</w:t>
            </w:r>
            <m:oMath>
              <m:sSubSup>
                <m:sSubSupPr>
                  <m:ctrlPr>
                    <w:rPr>
                      <w:rFonts w:ascii="Cambria Math" w:hAnsi="Cambria Math"/>
                      <w:i/>
                    </w:rPr>
                  </m:ctrlPr>
                </m:sSubSupPr>
                <m:e>
                  <m:r>
                    <m:rPr/>
                    <w:rPr>
                      <w:rFonts w:ascii="Cambria Math" w:hAnsi="Cambria Math"/>
                    </w:rPr>
                    <m:t>U</m:t>
                  </m:r>
                  <m:ctrlPr>
                    <w:rPr>
                      <w:rFonts w:ascii="Cambria Math" w:hAnsi="Cambria Math"/>
                      <w:i/>
                    </w:rPr>
                  </m:ctrlPr>
                </m:e>
                <m:sub>
                  <m:r>
                    <m:rPr/>
                    <w:rPr>
                      <w:rFonts w:ascii="Cambria Math" w:hAnsi="Cambria Math"/>
                    </w:rPr>
                    <m:t>y</m:t>
                  </m:r>
                  <m:ctrlPr>
                    <w:rPr>
                      <w:rFonts w:ascii="Cambria Math" w:hAnsi="Cambria Math"/>
                      <w:i/>
                    </w:rPr>
                  </m:ctrlPr>
                </m:sub>
                <m:sup>
                  <m:r>
                    <m:rPr/>
                    <w:rPr>
                      <w:rFonts w:ascii="Cambria Math" w:hAnsi="Cambria Math"/>
                    </w:rPr>
                    <m:t>−</m:t>
                  </m:r>
                  <m:ctrlPr>
                    <w:rPr>
                      <w:rFonts w:ascii="Cambria Math" w:hAnsi="Cambria Math"/>
                      <w:i/>
                    </w:rPr>
                  </m:ctrlPr>
                </m:sup>
              </m:sSubSup>
            </m:oMath>
            <w:r>
              <w:rPr>
                <w:rFonts w:hint="eastAsia" w:hAnsi="宋体"/>
              </w:rPr>
              <w:t>相应的水平剪力（kN）。</w:t>
            </w:r>
          </w:p>
          <w:p w14:paraId="39AA83D6">
            <w:pPr>
              <w:pStyle w:val="72"/>
              <w:ind w:firstLine="424" w:firstLineChars="202"/>
              <w:rPr>
                <w:rFonts w:hint="eastAsia" w:hAnsi="宋体"/>
              </w:rPr>
            </w:pPr>
          </w:p>
          <w:p w14:paraId="5D90788A">
            <w:pPr>
              <w:pStyle w:val="72"/>
              <w:ind w:firstLine="424" w:firstLineChars="202"/>
              <w:rPr>
                <w:rFonts w:hint="eastAsia" w:hAnsi="宋体"/>
              </w:rPr>
            </w:pPr>
            <w:r>
              <w:rPr>
                <w:rFonts w:hint="eastAsia" w:hAnsi="宋体"/>
              </w:rPr>
              <w:t>b）方法二</w:t>
            </w:r>
            <w:r>
              <w:rPr>
                <w:rFonts w:hAnsi="宋体"/>
              </w:rPr>
              <w:t>：</w:t>
            </w:r>
          </w:p>
          <w:p w14:paraId="0A6D3122">
            <w:pPr>
              <w:pStyle w:val="72"/>
              <w:ind w:firstLine="420"/>
            </w:pPr>
            <w:r>
              <w:rPr>
                <w:rFonts w:hint="eastAsia"/>
              </w:rPr>
              <w:t>铅芯橡胶支座和</w:t>
            </w:r>
            <w:r>
              <w:t>高阻尼</w:t>
            </w:r>
            <w:r>
              <w:rPr>
                <w:rFonts w:hint="eastAsia"/>
              </w:rPr>
              <w:t>橡胶</w:t>
            </w:r>
            <w:r>
              <w:t>支座</w:t>
            </w:r>
            <w:r>
              <w:rPr>
                <w:rFonts w:hAnsi="宋体"/>
              </w:rPr>
              <w:t>屈服后水平刚度可按GB/T 20688.1-2007</w:t>
            </w:r>
            <w:r>
              <w:rPr>
                <w:rFonts w:hint="eastAsia" w:hAnsi="宋体"/>
              </w:rPr>
              <w:t>附录</w:t>
            </w:r>
            <w:r>
              <w:rPr>
                <w:rFonts w:hAnsi="宋体"/>
              </w:rPr>
              <w:t>G的方法计算。</w:t>
            </w:r>
          </w:p>
        </w:tc>
        <w:tc>
          <w:tcPr>
            <w:tcW w:w="5126" w:type="dxa"/>
          </w:tcPr>
          <w:p w14:paraId="1A02A784">
            <w:pPr>
              <w:pStyle w:val="74"/>
              <w:numPr>
                <w:ilvl w:val="3"/>
                <w:numId w:val="0"/>
              </w:numPr>
              <w:rPr>
                <w:rFonts w:hint="eastAsia" w:ascii="黑体" w:hAnsi="黑体"/>
              </w:rPr>
            </w:pPr>
            <w:r>
              <w:rPr>
                <w:rFonts w:hint="eastAsia" w:ascii="黑体" w:hAnsi="黑体"/>
              </w:rPr>
              <w:t>7.4.8屈服后水平刚度</w:t>
            </w:r>
          </w:p>
          <w:p w14:paraId="72E13556">
            <w:pPr>
              <w:pStyle w:val="72"/>
              <w:ind w:firstLine="420"/>
            </w:pPr>
            <w:r>
              <w:rPr>
                <w:rFonts w:hint="eastAsia"/>
                <w:bdr w:val="single" w:color="auto" w:sz="4" w:space="0"/>
              </w:rPr>
              <w:t>当试验</w:t>
            </w:r>
            <w:r>
              <w:rPr>
                <w:bdr w:val="single" w:color="auto" w:sz="4" w:space="0"/>
              </w:rPr>
              <w:t>滞回曲线</w:t>
            </w:r>
            <w:r>
              <w:rPr>
                <w:rFonts w:hint="eastAsia"/>
                <w:bdr w:val="single" w:color="auto" w:sz="4" w:space="0"/>
              </w:rPr>
              <w:t>比较</w:t>
            </w:r>
            <w:r>
              <w:rPr>
                <w:bdr w:val="single" w:color="auto" w:sz="4" w:space="0"/>
              </w:rPr>
              <w:t>理想，具有明显的最大位移</w:t>
            </w:r>
            <w:r>
              <w:rPr>
                <w:rFonts w:hint="eastAsia"/>
                <w:bdr w:val="single" w:color="auto" w:sz="4" w:space="0"/>
              </w:rPr>
              <w:t>和</w:t>
            </w:r>
            <w:r>
              <w:rPr>
                <w:bdr w:val="single" w:color="auto" w:sz="4" w:space="0"/>
              </w:rPr>
              <w:t>最大剪力特征点</w:t>
            </w:r>
            <w:r>
              <w:rPr>
                <w:rFonts w:hint="eastAsia"/>
                <w:bdr w:val="single" w:color="auto" w:sz="4" w:space="0"/>
              </w:rPr>
              <w:t>以及与</w:t>
            </w:r>
            <w:r>
              <w:rPr>
                <w:bdr w:val="single" w:color="auto" w:sz="4" w:space="0"/>
              </w:rPr>
              <w:t>剪力轴的交点，</w:t>
            </w:r>
            <w:r>
              <w:rPr>
                <w:rFonts w:hint="eastAsia"/>
                <w:bdr w:val="single" w:color="auto" w:sz="4" w:space="0"/>
              </w:rPr>
              <w:t>铅芯橡胶支座和</w:t>
            </w:r>
            <w:r>
              <w:rPr>
                <w:bdr w:val="single" w:color="auto" w:sz="4" w:space="0"/>
              </w:rPr>
              <w:t>高阻尼</w:t>
            </w:r>
            <w:r>
              <w:rPr>
                <w:rFonts w:hint="eastAsia"/>
                <w:bdr w:val="single" w:color="auto" w:sz="4" w:space="0"/>
              </w:rPr>
              <w:t>橡胶</w:t>
            </w:r>
            <w:r>
              <w:rPr>
                <w:bdr w:val="single" w:color="auto" w:sz="4" w:space="0"/>
              </w:rPr>
              <w:t>支座</w:t>
            </w:r>
            <w:r>
              <w:rPr>
                <w:rFonts w:hint="eastAsia"/>
                <w:bdr w:val="single" w:color="auto" w:sz="4" w:space="0"/>
              </w:rPr>
              <w:t>的</w:t>
            </w:r>
            <w:r>
              <w:rPr>
                <w:bdr w:val="single" w:color="auto" w:sz="4" w:space="0"/>
              </w:rPr>
              <w:t>屈服后水平刚度</w:t>
            </w:r>
            <m:oMath>
              <m:sSub>
                <m:sSubPr>
                  <m:ctrlPr>
                    <w:rPr>
                      <w:rFonts w:ascii="Cambria Math" w:hAnsi="Cambria Math"/>
                      <w:bdr w:val="single" w:color="auto" w:sz="4" w:space="0"/>
                    </w:rPr>
                  </m:ctrlPr>
                </m:sSubPr>
                <m:e>
                  <m:r>
                    <m:rPr/>
                    <w:rPr>
                      <w:rFonts w:ascii="Cambria Math" w:hAnsi="Cambria Math"/>
                      <w:bdr w:val="single" w:color="auto" w:sz="4" w:space="0"/>
                    </w:rPr>
                    <m:t>K</m:t>
                  </m:r>
                  <m:ctrlPr>
                    <w:rPr>
                      <w:rFonts w:ascii="Cambria Math" w:hAnsi="Cambria Math"/>
                      <w:bdr w:val="single" w:color="auto" w:sz="4" w:space="0"/>
                    </w:rPr>
                  </m:ctrlPr>
                </m:e>
                <m:sub>
                  <m:r>
                    <m:rPr>
                      <m:sty m:val="p"/>
                    </m:rPr>
                    <w:rPr>
                      <w:rFonts w:ascii="Cambria Math" w:hAnsi="Cambria Math"/>
                      <w:bdr w:val="single" w:color="auto" w:sz="4" w:space="0"/>
                    </w:rPr>
                    <m:t>d</m:t>
                  </m:r>
                  <m:ctrlPr>
                    <w:rPr>
                      <w:rFonts w:ascii="Cambria Math" w:hAnsi="Cambria Math"/>
                      <w:bdr w:val="single" w:color="auto" w:sz="4" w:space="0"/>
                    </w:rPr>
                  </m:ctrlPr>
                </m:sub>
              </m:sSub>
            </m:oMath>
            <w:r>
              <w:rPr>
                <w:bdr w:val="single" w:color="auto" w:sz="4" w:space="0"/>
              </w:rPr>
              <w:t>可</w:t>
            </w:r>
            <w:r>
              <w:rPr>
                <w:rFonts w:hint="eastAsia"/>
                <w:bdr w:val="single" w:color="auto" w:sz="4" w:space="0"/>
              </w:rPr>
              <w:t>按</w:t>
            </w:r>
            <w:r>
              <w:rPr>
                <w:bdr w:val="single" w:color="auto" w:sz="4" w:space="0"/>
              </w:rPr>
              <w:t>下列方法</w:t>
            </w:r>
            <w:r>
              <w:rPr>
                <w:rFonts w:hint="eastAsia"/>
                <w:bdr w:val="single" w:color="auto" w:sz="4" w:space="0"/>
              </w:rPr>
              <w:t>一确定</w:t>
            </w:r>
            <w:r>
              <w:rPr>
                <w:bdr w:val="single" w:color="auto" w:sz="4" w:space="0"/>
              </w:rPr>
              <w:t>，否</w:t>
            </w:r>
            <w:r>
              <w:rPr>
                <w:rFonts w:hint="eastAsia"/>
                <w:bdr w:val="single" w:color="auto" w:sz="4" w:space="0"/>
              </w:rPr>
              <w:t>则按</w:t>
            </w:r>
            <w:r>
              <w:rPr>
                <w:bdr w:val="single" w:color="auto" w:sz="4" w:space="0"/>
              </w:rPr>
              <w:t>方法二确定</w:t>
            </w:r>
            <w:r>
              <w:rPr>
                <w:rFonts w:hint="eastAsia"/>
                <w:bdr w:val="single" w:color="auto" w:sz="4" w:space="0"/>
              </w:rPr>
              <w:t>：</w:t>
            </w:r>
          </w:p>
          <w:p w14:paraId="44C821E6">
            <w:pPr>
              <w:pStyle w:val="72"/>
              <w:ind w:firstLine="409" w:firstLineChars="195"/>
            </w:pPr>
            <w:r>
              <w:rPr>
                <w:rFonts w:hint="eastAsia"/>
                <w:bdr w:val="single" w:color="auto" w:sz="4" w:space="0"/>
              </w:rPr>
              <w:t>a )</w:t>
            </w:r>
            <w:r>
              <w:rPr>
                <w:rFonts w:hint="eastAsia"/>
              </w:rPr>
              <w:t>方法</w:t>
            </w:r>
            <w:r>
              <w:t>一</w:t>
            </w:r>
            <w:r>
              <w:rPr>
                <w:rFonts w:hint="eastAsia"/>
              </w:rPr>
              <w:t>：</w:t>
            </w:r>
          </w:p>
          <w:p w14:paraId="4CC93F8F">
            <w:pPr>
              <w:pStyle w:val="72"/>
              <w:ind w:firstLine="420"/>
            </w:pPr>
            <w:r>
              <w:rPr>
                <w:rFonts w:hint="eastAsia"/>
              </w:rPr>
              <w:t>对于铅芯橡胶支座和</w:t>
            </w:r>
            <w:r>
              <w:t>高阻尼</w:t>
            </w:r>
            <w:r>
              <w:rPr>
                <w:rFonts w:hint="eastAsia"/>
              </w:rPr>
              <w:t>橡胶</w:t>
            </w:r>
            <w:r>
              <w:t>支座</w:t>
            </w:r>
            <w:r>
              <w:rPr>
                <w:rFonts w:hint="eastAsia"/>
              </w:rPr>
              <w:t>，屈服后水平刚度应根据</w:t>
            </w:r>
            <w:r>
              <w:rPr>
                <w:rFonts w:hint="eastAsia" w:hAnsi="宋体"/>
              </w:rPr>
              <w:t>γ</w:t>
            </w:r>
            <w:r>
              <w:t>=100%</w:t>
            </w:r>
            <w:r>
              <w:rPr>
                <w:rFonts w:hint="eastAsia"/>
              </w:rPr>
              <w:t>，加载频率</w:t>
            </w:r>
            <w:r>
              <w:t>f</w:t>
            </w:r>
            <w:r>
              <w:rPr>
                <w:rFonts w:hint="eastAsia"/>
              </w:rPr>
              <w:t>不低于</w:t>
            </w:r>
            <w:r>
              <w:t>0.02Hz</w:t>
            </w:r>
            <w:r>
              <w:rPr>
                <w:rFonts w:hint="eastAsia"/>
              </w:rPr>
              <w:t>试验的第</w:t>
            </w:r>
            <w:r>
              <w:t>3</w:t>
            </w:r>
            <w:r>
              <w:rPr>
                <w:rFonts w:hint="eastAsia"/>
              </w:rPr>
              <w:t>条滞回曲线按式(3)确定：</w:t>
            </w:r>
          </w:p>
          <w:p w14:paraId="5F9823F8">
            <w:pPr>
              <w:pStyle w:val="72"/>
              <w:ind w:firstLine="420"/>
            </w:pPr>
            <w:r>
              <w:drawing>
                <wp:inline distT="0" distB="0" distL="114300" distR="114300">
                  <wp:extent cx="2668905" cy="390525"/>
                  <wp:effectExtent l="0" t="0" r="17145" b="9525"/>
                  <wp:docPr id="54"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5"/>
                          <pic:cNvPicPr>
                            <a:picLocks noChangeAspect="1"/>
                          </pic:cNvPicPr>
                        </pic:nvPicPr>
                        <pic:blipFill>
                          <a:blip r:embed="rId32"/>
                          <a:stretch>
                            <a:fillRect/>
                          </a:stretch>
                        </pic:blipFill>
                        <pic:spPr>
                          <a:xfrm>
                            <a:off x="0" y="0"/>
                            <a:ext cx="2668905" cy="390525"/>
                          </a:xfrm>
                          <a:prstGeom prst="rect">
                            <a:avLst/>
                          </a:prstGeom>
                          <a:noFill/>
                          <a:ln>
                            <a:noFill/>
                          </a:ln>
                        </pic:spPr>
                      </pic:pic>
                    </a:graphicData>
                  </a:graphic>
                </wp:inline>
              </w:drawing>
            </w:r>
          </w:p>
          <w:p w14:paraId="6AA8C4D2">
            <w:pPr>
              <w:pStyle w:val="72"/>
              <w:ind w:firstLine="424" w:firstLineChars="202"/>
            </w:pPr>
            <w:r>
              <w:rPr>
                <w:rFonts w:hint="eastAsia"/>
              </w:rPr>
              <w:t>式中：</w:t>
            </w:r>
          </w:p>
          <w:p w14:paraId="6793A36C">
            <w:pPr>
              <w:pStyle w:val="72"/>
              <w:ind w:firstLine="424" w:firstLineChars="202"/>
            </w:pPr>
            <m:oMath>
              <m:sSub>
                <m:sSubPr>
                  <m:ctrlPr>
                    <w:rPr>
                      <w:rFonts w:ascii="Cambria Math" w:hAnsi="Cambria Math"/>
                    </w:rPr>
                  </m:ctrlPr>
                </m:sSubPr>
                <m:e>
                  <m:r>
                    <m:rPr/>
                    <w:rPr>
                      <w:rFonts w:ascii="Cambria Math" w:hAnsi="Cambria Math"/>
                    </w:rPr>
                    <m:t>K</m:t>
                  </m:r>
                  <m:ctrlPr>
                    <w:rPr>
                      <w:rFonts w:ascii="Cambria Math" w:hAnsi="Cambria Math"/>
                    </w:rPr>
                  </m:ctrlPr>
                </m:e>
                <m:sub>
                  <m:r>
                    <m:rPr>
                      <m:sty m:val="p"/>
                    </m:rPr>
                    <w:rPr>
                      <w:rFonts w:ascii="Cambria Math" w:hAnsi="Cambria Math"/>
                    </w:rPr>
                    <m:t>d</m:t>
                  </m:r>
                  <m:ctrlPr>
                    <w:rPr>
                      <w:rFonts w:ascii="Cambria Math" w:hAnsi="Cambria Math"/>
                    </w:rPr>
                  </m:ctrlPr>
                </m:sub>
              </m:sSub>
            </m:oMath>
            <w:r>
              <w:t>——</w:t>
            </w:r>
            <w:r>
              <w:rPr>
                <w:rFonts w:hint="eastAsia"/>
              </w:rPr>
              <w:t>屈服后水平刚度（kN/m;</w:t>
            </w:r>
          </w:p>
          <w:p w14:paraId="25F15F18">
            <w:pPr>
              <w:pStyle w:val="72"/>
              <w:ind w:firstLine="424" w:firstLineChars="202"/>
            </w:pPr>
            <m:oMath>
              <m:sSubSup>
                <m:sSubSupPr>
                  <m:ctrlPr>
                    <w:rPr>
                      <w:rFonts w:ascii="Cambria Math" w:hAnsi="Cambria Math"/>
                      <w:i/>
                    </w:rPr>
                  </m:ctrlPr>
                </m:sSubSupPr>
                <m:e>
                  <m:r>
                    <m:rPr/>
                    <w:rPr>
                      <w:rFonts w:ascii="Cambria Math" w:hAnsi="Cambria Math"/>
                    </w:rPr>
                    <m:t>U</m:t>
                  </m:r>
                  <m:ctrlPr>
                    <w:rPr>
                      <w:rFonts w:ascii="Cambria Math" w:hAnsi="Cambria Math"/>
                      <w:i/>
                    </w:rPr>
                  </m:ctrlPr>
                </m:e>
                <m:sub>
                  <m:r>
                    <m:rPr>
                      <m:sty m:val="p"/>
                    </m:rPr>
                    <w:rPr>
                      <w:rFonts w:ascii="Cambria Math" w:hAnsi="Cambria Math"/>
                    </w:rPr>
                    <m:t>y</m:t>
                  </m:r>
                  <m:ctrlPr>
                    <w:rPr>
                      <w:rFonts w:ascii="Cambria Math" w:hAnsi="Cambria Math"/>
                      <w:i/>
                    </w:rPr>
                  </m:ctrlPr>
                </m:sub>
                <m:sup>
                  <m:r>
                    <m:rPr/>
                    <w:rPr>
                      <w:rFonts w:ascii="Cambria Math" w:hAnsi="Cambria Math"/>
                    </w:rPr>
                    <m:t>+</m:t>
                  </m:r>
                  <m:ctrlPr>
                    <w:rPr>
                      <w:rFonts w:ascii="Cambria Math" w:hAnsi="Cambria Math"/>
                      <w:i/>
                    </w:rPr>
                  </m:ctrlPr>
                </m:sup>
              </m:sSubSup>
            </m:oMath>
            <w:r>
              <w:t>——</w:t>
            </w:r>
            <w:r>
              <w:rPr>
                <w:rFonts w:hint="eastAsia"/>
              </w:rPr>
              <w:t>正方向屈服位移（mm）;</w:t>
            </w:r>
          </w:p>
          <w:p w14:paraId="37D9F509">
            <w:pPr>
              <w:pStyle w:val="72"/>
              <w:ind w:firstLine="424" w:firstLineChars="202"/>
            </w:pPr>
            <m:oMath>
              <m:sSubSup>
                <m:sSubSupPr>
                  <m:ctrlPr>
                    <w:rPr>
                      <w:rFonts w:ascii="Cambria Math" w:hAnsi="Cambria Math"/>
                      <w:i/>
                    </w:rPr>
                  </m:ctrlPr>
                </m:sSubSupPr>
                <m:e>
                  <m:r>
                    <m:rPr/>
                    <w:rPr>
                      <w:rFonts w:ascii="Cambria Math" w:hAnsi="Cambria Math"/>
                    </w:rPr>
                    <m:t>U</m:t>
                  </m:r>
                  <m:ctrlPr>
                    <w:rPr>
                      <w:rFonts w:ascii="Cambria Math" w:hAnsi="Cambria Math"/>
                      <w:i/>
                    </w:rPr>
                  </m:ctrlPr>
                </m:e>
                <m:sub>
                  <m:r>
                    <m:rPr>
                      <m:sty m:val="p"/>
                    </m:rPr>
                    <w:rPr>
                      <w:rFonts w:ascii="Cambria Math" w:hAnsi="Cambria Math"/>
                    </w:rPr>
                    <m:t>y</m:t>
                  </m:r>
                  <m:ctrlPr>
                    <w:rPr>
                      <w:rFonts w:ascii="Cambria Math" w:hAnsi="Cambria Math"/>
                      <w:i/>
                    </w:rPr>
                  </m:ctrlPr>
                </m:sub>
                <m:sup>
                  <m:r>
                    <m:rPr/>
                    <w:rPr>
                      <w:rFonts w:ascii="Cambria Math" w:hAnsi="Cambria Math"/>
                    </w:rPr>
                    <m:t>−</m:t>
                  </m:r>
                  <m:ctrlPr>
                    <w:rPr>
                      <w:rFonts w:ascii="Cambria Math" w:hAnsi="Cambria Math"/>
                      <w:i/>
                    </w:rPr>
                  </m:ctrlPr>
                </m:sup>
              </m:sSubSup>
            </m:oMath>
            <w:r>
              <w:t>——</w:t>
            </w:r>
            <w:r>
              <w:rPr>
                <w:rFonts w:hint="eastAsia"/>
              </w:rPr>
              <w:t>负方向屈服位移（mm）;</w:t>
            </w:r>
          </w:p>
          <w:p w14:paraId="3F9A2187">
            <w:pPr>
              <w:pStyle w:val="72"/>
              <w:ind w:firstLine="424" w:firstLineChars="202"/>
            </w:pPr>
            <m:oMath>
              <m:sSubSup>
                <m:sSubSupPr>
                  <m:ctrlPr>
                    <w:rPr>
                      <w:rFonts w:ascii="Cambria Math" w:hAnsi="Cambria Math"/>
                      <w:i/>
                    </w:rPr>
                  </m:ctrlPr>
                </m:sSubSupPr>
                <m:e>
                  <m:r>
                    <m:rPr/>
                    <w:rPr>
                      <w:rFonts w:ascii="Cambria Math" w:hAnsi="Cambria Math"/>
                    </w:rPr>
                    <m:t>Q</m:t>
                  </m:r>
                  <m:ctrlPr>
                    <w:rPr>
                      <w:rFonts w:ascii="Cambria Math" w:hAnsi="Cambria Math"/>
                      <w:i/>
                    </w:rPr>
                  </m:ctrlPr>
                </m:e>
                <m:sub>
                  <m:r>
                    <m:rPr>
                      <m:sty m:val="p"/>
                    </m:rPr>
                    <w:rPr>
                      <w:rFonts w:ascii="Cambria Math" w:hAnsi="Cambria Math"/>
                    </w:rPr>
                    <m:t>y</m:t>
                  </m:r>
                  <m:ctrlPr>
                    <w:rPr>
                      <w:rFonts w:ascii="Cambria Math" w:hAnsi="Cambria Math"/>
                      <w:i/>
                    </w:rPr>
                  </m:ctrlPr>
                </m:sub>
                <m:sup>
                  <m:r>
                    <m:rPr/>
                    <w:rPr>
                      <w:rFonts w:ascii="Cambria Math" w:hAnsi="Cambria Math"/>
                    </w:rPr>
                    <m:t>+</m:t>
                  </m:r>
                  <m:ctrlPr>
                    <w:rPr>
                      <w:rFonts w:ascii="Cambria Math" w:hAnsi="Cambria Math"/>
                      <w:i/>
                    </w:rPr>
                  </m:ctrlPr>
                </m:sup>
              </m:sSubSup>
            </m:oMath>
            <w:r>
              <w:t>——</w:t>
            </w:r>
            <w:r>
              <w:rPr>
                <w:rFonts w:hint="eastAsia"/>
              </w:rPr>
              <w:t>与</w:t>
            </w:r>
            <m:oMath>
              <m:sSubSup>
                <m:sSubSupPr>
                  <m:ctrlPr>
                    <w:rPr>
                      <w:rFonts w:ascii="Cambria Math" w:hAnsi="Cambria Math"/>
                      <w:i/>
                    </w:rPr>
                  </m:ctrlPr>
                </m:sSubSupPr>
                <m:e>
                  <m:r>
                    <m:rPr/>
                    <w:rPr>
                      <w:rFonts w:ascii="Cambria Math" w:hAnsi="Cambria Math"/>
                    </w:rPr>
                    <m:t>U</m:t>
                  </m:r>
                  <m:ctrlPr>
                    <w:rPr>
                      <w:rFonts w:ascii="Cambria Math" w:hAnsi="Cambria Math"/>
                      <w:i/>
                    </w:rPr>
                  </m:ctrlPr>
                </m:e>
                <m:sub>
                  <m:r>
                    <m:rPr/>
                    <w:rPr>
                      <w:rFonts w:ascii="Cambria Math" w:hAnsi="Cambria Math"/>
                    </w:rPr>
                    <m:t>y</m:t>
                  </m:r>
                  <m:ctrlPr>
                    <w:rPr>
                      <w:rFonts w:ascii="Cambria Math" w:hAnsi="Cambria Math"/>
                      <w:i/>
                    </w:rPr>
                  </m:ctrlPr>
                </m:sub>
                <m:sup>
                  <m:r>
                    <m:rPr/>
                    <w:rPr>
                      <w:rFonts w:ascii="Cambria Math" w:hAnsi="Cambria Math"/>
                    </w:rPr>
                    <m:t>+</m:t>
                  </m:r>
                  <m:ctrlPr>
                    <w:rPr>
                      <w:rFonts w:ascii="Cambria Math" w:hAnsi="Cambria Math"/>
                      <w:i/>
                    </w:rPr>
                  </m:ctrlPr>
                </m:sup>
              </m:sSubSup>
            </m:oMath>
            <w:r>
              <w:rPr>
                <w:rFonts w:hint="eastAsia"/>
              </w:rPr>
              <w:t>相应的水平剪力（kN）;</w:t>
            </w:r>
          </w:p>
          <w:p w14:paraId="170507EB">
            <w:pPr>
              <w:pStyle w:val="72"/>
              <w:ind w:firstLine="424" w:firstLineChars="202"/>
              <w:rPr>
                <w:rFonts w:hint="eastAsia" w:hAnsi="宋体"/>
              </w:rPr>
            </w:pPr>
            <m:oMath>
              <m:sSubSup>
                <m:sSubSupPr>
                  <m:ctrlPr>
                    <w:rPr>
                      <w:rFonts w:ascii="Cambria Math" w:hAnsi="Cambria Math"/>
                      <w:i/>
                    </w:rPr>
                  </m:ctrlPr>
                </m:sSubSupPr>
                <m:e>
                  <m:r>
                    <m:rPr/>
                    <w:rPr>
                      <w:rFonts w:ascii="Cambria Math" w:hAnsi="Cambria Math"/>
                    </w:rPr>
                    <m:t>Q</m:t>
                  </m:r>
                  <m:ctrlPr>
                    <w:rPr>
                      <w:rFonts w:ascii="Cambria Math" w:hAnsi="Cambria Math"/>
                      <w:i/>
                    </w:rPr>
                  </m:ctrlPr>
                </m:e>
                <m:sub>
                  <m:r>
                    <m:rPr>
                      <m:sty m:val="p"/>
                    </m:rPr>
                    <w:rPr>
                      <w:rFonts w:ascii="Cambria Math" w:hAnsi="Cambria Math"/>
                    </w:rPr>
                    <m:t>y</m:t>
                  </m:r>
                  <m:ctrlPr>
                    <w:rPr>
                      <w:rFonts w:ascii="Cambria Math" w:hAnsi="Cambria Math"/>
                      <w:i/>
                    </w:rPr>
                  </m:ctrlPr>
                </m:sub>
                <m:sup>
                  <m:r>
                    <m:rPr/>
                    <w:rPr>
                      <w:rFonts w:ascii="Cambria Math" w:hAnsi="Cambria Math"/>
                    </w:rPr>
                    <m:t>−</m:t>
                  </m:r>
                  <m:ctrlPr>
                    <w:rPr>
                      <w:rFonts w:ascii="Cambria Math" w:hAnsi="Cambria Math"/>
                      <w:i/>
                    </w:rPr>
                  </m:ctrlPr>
                </m:sup>
              </m:sSubSup>
            </m:oMath>
            <w:r>
              <w:t>——</w:t>
            </w:r>
            <w:r>
              <w:rPr>
                <w:rFonts w:hint="eastAsia"/>
              </w:rPr>
              <w:t>与</w:t>
            </w:r>
            <m:oMath>
              <m:sSubSup>
                <m:sSubSupPr>
                  <m:ctrlPr>
                    <w:rPr>
                      <w:rFonts w:ascii="Cambria Math" w:hAnsi="Cambria Math"/>
                      <w:i/>
                    </w:rPr>
                  </m:ctrlPr>
                </m:sSubSupPr>
                <m:e>
                  <m:r>
                    <m:rPr/>
                    <w:rPr>
                      <w:rFonts w:ascii="Cambria Math" w:hAnsi="Cambria Math"/>
                    </w:rPr>
                    <m:t>U</m:t>
                  </m:r>
                  <m:ctrlPr>
                    <w:rPr>
                      <w:rFonts w:ascii="Cambria Math" w:hAnsi="Cambria Math"/>
                      <w:i/>
                    </w:rPr>
                  </m:ctrlPr>
                </m:e>
                <m:sub>
                  <m:r>
                    <m:rPr/>
                    <w:rPr>
                      <w:rFonts w:ascii="Cambria Math" w:hAnsi="Cambria Math"/>
                    </w:rPr>
                    <m:t>y</m:t>
                  </m:r>
                  <m:ctrlPr>
                    <w:rPr>
                      <w:rFonts w:ascii="Cambria Math" w:hAnsi="Cambria Math"/>
                      <w:i/>
                    </w:rPr>
                  </m:ctrlPr>
                </m:sub>
                <m:sup>
                  <m:r>
                    <m:rPr/>
                    <w:rPr>
                      <w:rFonts w:ascii="Cambria Math" w:hAnsi="Cambria Math"/>
                    </w:rPr>
                    <m:t>−</m:t>
                  </m:r>
                  <m:ctrlPr>
                    <w:rPr>
                      <w:rFonts w:ascii="Cambria Math" w:hAnsi="Cambria Math"/>
                      <w:i/>
                    </w:rPr>
                  </m:ctrlPr>
                </m:sup>
              </m:sSubSup>
            </m:oMath>
            <w:r>
              <w:rPr>
                <w:rFonts w:hint="eastAsia" w:hAnsi="宋体"/>
              </w:rPr>
              <w:t>相应的水平剪力（kN）。</w:t>
            </w:r>
          </w:p>
          <w:p w14:paraId="370D8DFA">
            <w:pPr>
              <w:pStyle w:val="72"/>
              <w:ind w:firstLine="424" w:firstLineChars="202"/>
              <w:rPr>
                <w:rFonts w:hint="eastAsia" w:hAnsi="宋体"/>
              </w:rPr>
            </w:pPr>
          </w:p>
          <w:p w14:paraId="1E0C6DDD">
            <w:pPr>
              <w:pStyle w:val="72"/>
              <w:ind w:firstLine="424" w:firstLineChars="202"/>
              <w:rPr>
                <w:rFonts w:hint="eastAsia" w:hAnsi="宋体"/>
              </w:rPr>
            </w:pPr>
            <w:r>
              <w:rPr>
                <w:rFonts w:hint="eastAsia" w:hAnsi="宋体"/>
                <w:bdr w:val="single" w:color="auto" w:sz="4" w:space="0"/>
              </w:rPr>
              <w:t>b）</w:t>
            </w:r>
            <w:r>
              <w:rPr>
                <w:rFonts w:hint="eastAsia" w:hAnsi="宋体"/>
              </w:rPr>
              <w:t>方法二</w:t>
            </w:r>
            <w:r>
              <w:rPr>
                <w:rFonts w:hAnsi="宋体"/>
              </w:rPr>
              <w:t>：</w:t>
            </w:r>
          </w:p>
          <w:p w14:paraId="5DDF7A0B">
            <w:pPr>
              <w:pStyle w:val="72"/>
              <w:ind w:firstLine="420"/>
            </w:pPr>
            <w:r>
              <w:rPr>
                <w:rFonts w:hint="eastAsia"/>
              </w:rPr>
              <w:t>铅芯橡胶支座和</w:t>
            </w:r>
            <w:r>
              <w:t>高阻尼</w:t>
            </w:r>
            <w:r>
              <w:rPr>
                <w:rFonts w:hint="eastAsia"/>
              </w:rPr>
              <w:t>橡胶</w:t>
            </w:r>
            <w:r>
              <w:t>支座</w:t>
            </w:r>
            <w:r>
              <w:rPr>
                <w:rFonts w:hAnsi="宋体"/>
              </w:rPr>
              <w:t>屈服后水平刚度可按GB/T 20688.1</w:t>
            </w:r>
            <w:r>
              <w:rPr>
                <w:rFonts w:hAnsi="宋体"/>
                <w:bdr w:val="single" w:color="auto" w:sz="4" w:space="0"/>
              </w:rPr>
              <w:t>-2007</w:t>
            </w:r>
            <w:r>
              <w:rPr>
                <w:rFonts w:hint="eastAsia" w:hAnsi="宋体"/>
                <w:bdr w:val="single" w:color="auto" w:sz="4" w:space="0"/>
              </w:rPr>
              <w:t>附录</w:t>
            </w:r>
            <w:r>
              <w:rPr>
                <w:rFonts w:hAnsi="宋体"/>
                <w:bdr w:val="single" w:color="auto" w:sz="4" w:space="0"/>
              </w:rPr>
              <w:t>G</w:t>
            </w:r>
            <w:r>
              <w:rPr>
                <w:rFonts w:hAnsi="宋体"/>
              </w:rPr>
              <w:t>的方法计算。</w:t>
            </w:r>
          </w:p>
        </w:tc>
      </w:tr>
      <w:tr w14:paraId="44BD2C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52AAB8AC">
            <w:pPr>
              <w:pStyle w:val="74"/>
              <w:numPr>
                <w:ilvl w:val="3"/>
                <w:numId w:val="0"/>
              </w:numPr>
              <w:rPr>
                <w:rFonts w:hint="eastAsia" w:ascii="黑体" w:hAnsi="黑体"/>
              </w:rPr>
            </w:pPr>
            <w:r>
              <w:rPr>
                <w:rFonts w:hint="eastAsia" w:ascii="黑体" w:hAnsi="黑体"/>
              </w:rPr>
              <w:t>7.4.9屈服力</w:t>
            </w:r>
          </w:p>
          <w:p w14:paraId="7A7B92C5">
            <w:pPr>
              <w:pStyle w:val="72"/>
              <w:ind w:firstLine="420"/>
            </w:pPr>
            <w:r>
              <w:rPr>
                <w:rFonts w:hint="eastAsia"/>
              </w:rPr>
              <w:t>当试验</w:t>
            </w:r>
            <w:r>
              <w:t>滞回曲线</w:t>
            </w:r>
            <w:r>
              <w:rPr>
                <w:rFonts w:hint="eastAsia"/>
              </w:rPr>
              <w:t>比较</w:t>
            </w:r>
            <w:r>
              <w:t>理想，具有明显的最大位移</w:t>
            </w:r>
            <w:r>
              <w:rPr>
                <w:rFonts w:hint="eastAsia"/>
              </w:rPr>
              <w:t>和</w:t>
            </w:r>
            <w:r>
              <w:t>最大剪力特征点</w:t>
            </w:r>
            <w:r>
              <w:rPr>
                <w:rFonts w:hint="eastAsia"/>
              </w:rPr>
              <w:t>以及与</w:t>
            </w:r>
            <w:r>
              <w:t>剪力轴的交点，</w:t>
            </w:r>
            <w:r>
              <w:rPr>
                <w:rFonts w:hint="eastAsia"/>
              </w:rPr>
              <w:t>铅芯橡胶支座和</w:t>
            </w:r>
            <w:r>
              <w:t>高阻尼</w:t>
            </w:r>
            <w:r>
              <w:rPr>
                <w:rFonts w:hint="eastAsia"/>
              </w:rPr>
              <w:t>橡胶</w:t>
            </w:r>
            <w:r>
              <w:t>支座</w:t>
            </w:r>
            <w:r>
              <w:rPr>
                <w:rFonts w:hint="eastAsia"/>
              </w:rPr>
              <w:t>的</w:t>
            </w:r>
            <w:r>
              <w:t>屈服</w:t>
            </w:r>
            <w:r>
              <w:rPr>
                <w:rFonts w:hint="eastAsia"/>
              </w:rPr>
              <w:t>力</w:t>
            </w:r>
            <m:oMath>
              <m:sSub>
                <m:sSubPr>
                  <m:ctrlPr>
                    <w:rPr>
                      <w:rFonts w:ascii="Cambria Math" w:hAnsi="Cambria Math"/>
                    </w:rPr>
                  </m:ctrlPr>
                </m:sSubPr>
                <m:e>
                  <m:r>
                    <m:rPr/>
                    <w:rPr>
                      <w:rFonts w:ascii="Cambria Math" w:hAnsi="Cambria Math"/>
                    </w:rPr>
                    <m:t>Q</m:t>
                  </m:r>
                  <m:ctrlPr>
                    <w:rPr>
                      <w:rFonts w:ascii="Cambria Math" w:hAnsi="Cambria Math"/>
                    </w:rPr>
                  </m:ctrlPr>
                </m:e>
                <m:sub>
                  <m:r>
                    <m:rPr>
                      <m:sty m:val="p"/>
                    </m:rPr>
                    <w:rPr>
                      <w:rFonts w:ascii="Cambria Math" w:hAnsi="Cambria Math"/>
                    </w:rPr>
                    <m:t>d</m:t>
                  </m:r>
                  <m:ctrlPr>
                    <w:rPr>
                      <w:rFonts w:ascii="Cambria Math" w:hAnsi="Cambria Math"/>
                    </w:rPr>
                  </m:ctrlPr>
                </m:sub>
              </m:sSub>
            </m:oMath>
            <w:r>
              <w:t>可</w:t>
            </w:r>
            <w:r>
              <w:rPr>
                <w:rFonts w:hint="eastAsia"/>
              </w:rPr>
              <w:t>按</w:t>
            </w:r>
            <w:r>
              <w:t>下列方法</w:t>
            </w:r>
            <w:r>
              <w:rPr>
                <w:rFonts w:hint="eastAsia"/>
              </w:rPr>
              <w:t>一确定</w:t>
            </w:r>
            <w:r>
              <w:t>，否</w:t>
            </w:r>
            <w:r>
              <w:rPr>
                <w:rFonts w:hint="eastAsia"/>
              </w:rPr>
              <w:t>则按</w:t>
            </w:r>
            <w:r>
              <w:t>方法二确定</w:t>
            </w:r>
            <w:r>
              <w:rPr>
                <w:rFonts w:hint="eastAsia"/>
              </w:rPr>
              <w:t>：</w:t>
            </w:r>
          </w:p>
          <w:p w14:paraId="71BA8C2B">
            <w:pPr>
              <w:pStyle w:val="72"/>
              <w:ind w:firstLine="420"/>
            </w:pPr>
            <w:r>
              <w:rPr>
                <w:rFonts w:hint="eastAsia"/>
              </w:rPr>
              <w:t>a )方法</w:t>
            </w:r>
            <w:r>
              <w:t>一：</w:t>
            </w:r>
          </w:p>
          <w:p w14:paraId="1CA05086">
            <w:pPr>
              <w:pStyle w:val="72"/>
              <w:ind w:firstLine="420"/>
              <w:rPr>
                <w:rFonts w:cs="Times New Roman"/>
              </w:rPr>
            </w:pPr>
            <w:r>
              <w:rPr>
                <w:rFonts w:hint="eastAsia"/>
              </w:rPr>
              <w:t>对于铅芯橡胶支座和</w:t>
            </w:r>
            <w:r>
              <w:t>高阻尼</w:t>
            </w:r>
            <w:r>
              <w:rPr>
                <w:rFonts w:hint="eastAsia"/>
              </w:rPr>
              <w:t>橡胶</w:t>
            </w:r>
            <w:r>
              <w:t>支座</w:t>
            </w:r>
            <w:r>
              <w:rPr>
                <w:rFonts w:hint="eastAsia"/>
              </w:rPr>
              <w:t>，屈服力应根据</w:t>
            </w:r>
            <w:r>
              <w:rPr>
                <w:rFonts w:hint="eastAsia" w:hAnsi="宋体"/>
              </w:rPr>
              <w:t>γ</w:t>
            </w:r>
            <w:r>
              <w:t>=100%</w:t>
            </w:r>
            <w:r>
              <w:rPr>
                <w:rFonts w:hint="eastAsia"/>
              </w:rPr>
              <w:t>，加载频率</w:t>
            </w:r>
            <w:r>
              <w:t>f</w:t>
            </w:r>
            <w:r>
              <w:rPr>
                <w:rFonts w:hint="eastAsia"/>
              </w:rPr>
              <w:t>不低于</w:t>
            </w:r>
            <w:r>
              <w:t>0.02Hz</w:t>
            </w:r>
            <w:r>
              <w:rPr>
                <w:rFonts w:hint="eastAsia"/>
              </w:rPr>
              <w:t>试验的第</w:t>
            </w:r>
            <w:r>
              <w:t>3</w:t>
            </w:r>
            <w:r>
              <w:rPr>
                <w:rFonts w:hint="eastAsia"/>
              </w:rPr>
              <w:t>条滞回曲线按式(4)确定：</w:t>
            </w:r>
          </w:p>
          <w:p w14:paraId="4D3DE4BE">
            <w:pPr>
              <w:pStyle w:val="72"/>
              <w:ind w:firstLine="420"/>
            </w:pPr>
            <w:r>
              <w:drawing>
                <wp:inline distT="0" distB="0" distL="114300" distR="114300">
                  <wp:extent cx="2795270" cy="321945"/>
                  <wp:effectExtent l="0" t="0" r="5080" b="1905"/>
                  <wp:docPr id="55"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6"/>
                          <pic:cNvPicPr>
                            <a:picLocks noChangeAspect="1"/>
                          </pic:cNvPicPr>
                        </pic:nvPicPr>
                        <pic:blipFill>
                          <a:blip r:embed="rId33"/>
                          <a:stretch>
                            <a:fillRect/>
                          </a:stretch>
                        </pic:blipFill>
                        <pic:spPr>
                          <a:xfrm>
                            <a:off x="0" y="0"/>
                            <a:ext cx="2795270" cy="321945"/>
                          </a:xfrm>
                          <a:prstGeom prst="rect">
                            <a:avLst/>
                          </a:prstGeom>
                          <a:noFill/>
                          <a:ln>
                            <a:noFill/>
                          </a:ln>
                        </pic:spPr>
                      </pic:pic>
                    </a:graphicData>
                  </a:graphic>
                </wp:inline>
              </w:drawing>
            </w:r>
          </w:p>
          <w:p w14:paraId="5A7D327A">
            <w:pPr>
              <w:pStyle w:val="72"/>
              <w:ind w:firstLine="424" w:firstLineChars="202"/>
            </w:pPr>
            <w:r>
              <w:rPr>
                <w:rFonts w:hint="eastAsia"/>
              </w:rPr>
              <w:t>式中：</w:t>
            </w:r>
          </w:p>
          <w:p w14:paraId="100649EA">
            <w:pPr>
              <w:pStyle w:val="72"/>
              <w:ind w:firstLine="424" w:firstLineChars="202"/>
            </w:pPr>
            <m:oMath>
              <m:sSub>
                <m:sSubPr>
                  <m:ctrlPr>
                    <w:rPr>
                      <w:rFonts w:ascii="Cambria Math" w:hAnsi="Cambria Math"/>
                    </w:rPr>
                  </m:ctrlPr>
                </m:sSubPr>
                <m:e>
                  <m:r>
                    <m:rPr/>
                    <w:rPr>
                      <w:rFonts w:ascii="Cambria Math" w:hAnsi="Cambria Math"/>
                    </w:rPr>
                    <m:t>Q</m:t>
                  </m:r>
                  <m:ctrlPr>
                    <w:rPr>
                      <w:rFonts w:ascii="Cambria Math" w:hAnsi="Cambria Math"/>
                    </w:rPr>
                  </m:ctrlPr>
                </m:e>
                <m:sub>
                  <m:r>
                    <m:rPr>
                      <m:sty m:val="p"/>
                    </m:rPr>
                    <w:rPr>
                      <w:rFonts w:ascii="Cambria Math" w:hAnsi="Cambria Math"/>
                    </w:rPr>
                    <m:t>d</m:t>
                  </m:r>
                  <m:ctrlPr>
                    <w:rPr>
                      <w:rFonts w:ascii="Cambria Math" w:hAnsi="Cambria Math"/>
                    </w:rPr>
                  </m:ctrlPr>
                </m:sub>
              </m:sSub>
            </m:oMath>
            <w:r>
              <w:t>——</w:t>
            </w:r>
            <w:r>
              <w:rPr>
                <w:rFonts w:hint="eastAsia"/>
              </w:rPr>
              <w:t>屈服力（kN）;</w:t>
            </w:r>
          </w:p>
          <w:p w14:paraId="5C4E5672">
            <w:pPr>
              <w:pStyle w:val="72"/>
              <w:ind w:firstLine="424" w:firstLineChars="202"/>
            </w:pPr>
            <m:oMath>
              <m:sSubSup>
                <m:sSubSupPr>
                  <m:ctrlPr>
                    <w:rPr>
                      <w:rFonts w:ascii="Cambria Math" w:hAnsi="Cambria Math"/>
                      <w:i/>
                    </w:rPr>
                  </m:ctrlPr>
                </m:sSubSupPr>
                <m:e>
                  <m:r>
                    <m:rPr/>
                    <w:rPr>
                      <w:rFonts w:ascii="Cambria Math" w:hAnsi="Cambria Math"/>
                    </w:rPr>
                    <m:t>Q</m:t>
                  </m:r>
                  <m:ctrlPr>
                    <w:rPr>
                      <w:rFonts w:ascii="Cambria Math" w:hAnsi="Cambria Math"/>
                      <w:i/>
                    </w:rPr>
                  </m:ctrlPr>
                </m:e>
                <m:sub>
                  <m:r>
                    <m:rPr>
                      <m:sty m:val="p"/>
                    </m:rPr>
                    <w:rPr>
                      <w:rFonts w:ascii="Cambria Math" w:hAnsi="Cambria Math"/>
                    </w:rPr>
                    <m:t>y</m:t>
                  </m:r>
                  <m:ctrlPr>
                    <w:rPr>
                      <w:rFonts w:ascii="Cambria Math" w:hAnsi="Cambria Math"/>
                      <w:i/>
                    </w:rPr>
                  </m:ctrlPr>
                </m:sub>
                <m:sup>
                  <m:r>
                    <m:rPr/>
                    <w:rPr>
                      <w:rFonts w:ascii="Cambria Math" w:hAnsi="Cambria Math"/>
                    </w:rPr>
                    <m:t>+</m:t>
                  </m:r>
                  <m:ctrlPr>
                    <w:rPr>
                      <w:rFonts w:ascii="Cambria Math" w:hAnsi="Cambria Math"/>
                      <w:i/>
                    </w:rPr>
                  </m:ctrlPr>
                </m:sup>
              </m:sSubSup>
            </m:oMath>
            <w:r>
              <w:t>——</w:t>
            </w:r>
            <w:r>
              <w:rPr>
                <w:rFonts w:hint="eastAsia"/>
              </w:rPr>
              <w:t>与</w:t>
            </w:r>
            <m:oMath>
              <m:sSubSup>
                <m:sSubSupPr>
                  <m:ctrlPr>
                    <w:rPr>
                      <w:rFonts w:ascii="Cambria Math" w:hAnsi="Cambria Math"/>
                      <w:i/>
                    </w:rPr>
                  </m:ctrlPr>
                </m:sSubSupPr>
                <m:e>
                  <m:r>
                    <m:rPr/>
                    <w:rPr>
                      <w:rFonts w:ascii="Cambria Math" w:hAnsi="Cambria Math"/>
                    </w:rPr>
                    <m:t>U</m:t>
                  </m:r>
                  <m:ctrlPr>
                    <w:rPr>
                      <w:rFonts w:ascii="Cambria Math" w:hAnsi="Cambria Math"/>
                      <w:i/>
                    </w:rPr>
                  </m:ctrlPr>
                </m:e>
                <m:sub>
                  <m:r>
                    <m:rPr>
                      <m:sty m:val="p"/>
                    </m:rPr>
                    <w:rPr>
                      <w:rFonts w:ascii="Cambria Math" w:hAnsi="Cambria Math"/>
                    </w:rPr>
                    <m:t>y</m:t>
                  </m:r>
                  <m:ctrlPr>
                    <w:rPr>
                      <w:rFonts w:ascii="Cambria Math" w:hAnsi="Cambria Math"/>
                      <w:i/>
                    </w:rPr>
                  </m:ctrlPr>
                </m:sub>
                <m:sup>
                  <m:r>
                    <m:rPr/>
                    <w:rPr>
                      <w:rFonts w:ascii="Cambria Math" w:hAnsi="Cambria Math"/>
                    </w:rPr>
                    <m:t>+</m:t>
                  </m:r>
                  <m:ctrlPr>
                    <w:rPr>
                      <w:rFonts w:ascii="Cambria Math" w:hAnsi="Cambria Math"/>
                      <w:i/>
                    </w:rPr>
                  </m:ctrlPr>
                </m:sup>
              </m:sSubSup>
            </m:oMath>
            <w:r>
              <w:rPr>
                <w:rFonts w:hint="eastAsia"/>
              </w:rPr>
              <w:t>相应的水平剪力（kN）;</w:t>
            </w:r>
          </w:p>
          <w:p w14:paraId="44573558">
            <w:pPr>
              <w:pStyle w:val="72"/>
              <w:ind w:firstLine="424" w:firstLineChars="202"/>
              <w:rPr>
                <w:rFonts w:hint="eastAsia" w:hAnsi="宋体"/>
              </w:rPr>
            </w:pPr>
            <m:oMath>
              <m:sSubSup>
                <m:sSubSupPr>
                  <m:ctrlPr>
                    <w:rPr>
                      <w:rFonts w:ascii="Cambria Math" w:hAnsi="Cambria Math"/>
                      <w:i/>
                    </w:rPr>
                  </m:ctrlPr>
                </m:sSubSupPr>
                <m:e>
                  <m:r>
                    <m:rPr/>
                    <w:rPr>
                      <w:rFonts w:ascii="Cambria Math" w:hAnsi="Cambria Math"/>
                    </w:rPr>
                    <m:t>Q</m:t>
                  </m:r>
                  <m:ctrlPr>
                    <w:rPr>
                      <w:rFonts w:ascii="Cambria Math" w:hAnsi="Cambria Math"/>
                      <w:i/>
                    </w:rPr>
                  </m:ctrlPr>
                </m:e>
                <m:sub>
                  <m:r>
                    <m:rPr>
                      <m:sty m:val="p"/>
                    </m:rPr>
                    <w:rPr>
                      <w:rFonts w:ascii="Cambria Math" w:hAnsi="Cambria Math"/>
                    </w:rPr>
                    <m:t>y</m:t>
                  </m:r>
                  <m:ctrlPr>
                    <w:rPr>
                      <w:rFonts w:ascii="Cambria Math" w:hAnsi="Cambria Math"/>
                      <w:i/>
                    </w:rPr>
                  </m:ctrlPr>
                </m:sub>
                <m:sup>
                  <m:r>
                    <m:rPr/>
                    <w:rPr>
                      <w:rFonts w:ascii="Cambria Math" w:hAnsi="Cambria Math"/>
                    </w:rPr>
                    <m:t>−</m:t>
                  </m:r>
                  <m:ctrlPr>
                    <w:rPr>
                      <w:rFonts w:ascii="Cambria Math" w:hAnsi="Cambria Math"/>
                      <w:i/>
                    </w:rPr>
                  </m:ctrlPr>
                </m:sup>
              </m:sSubSup>
            </m:oMath>
            <w:r>
              <w:t>——</w:t>
            </w:r>
            <w:r>
              <w:rPr>
                <w:rFonts w:hint="eastAsia"/>
              </w:rPr>
              <w:t>与</w:t>
            </w:r>
            <m:oMath>
              <m:sSubSup>
                <m:sSubSupPr>
                  <m:ctrlPr>
                    <w:rPr>
                      <w:rFonts w:ascii="Cambria Math" w:hAnsi="Cambria Math"/>
                      <w:i/>
                    </w:rPr>
                  </m:ctrlPr>
                </m:sSubSupPr>
                <m:e>
                  <m:r>
                    <m:rPr/>
                    <w:rPr>
                      <w:rFonts w:ascii="Cambria Math" w:hAnsi="Cambria Math"/>
                    </w:rPr>
                    <m:t>U</m:t>
                  </m:r>
                  <m:ctrlPr>
                    <w:rPr>
                      <w:rFonts w:ascii="Cambria Math" w:hAnsi="Cambria Math"/>
                      <w:i/>
                    </w:rPr>
                  </m:ctrlPr>
                </m:e>
                <m:sub>
                  <m:r>
                    <m:rPr>
                      <m:sty m:val="p"/>
                    </m:rPr>
                    <w:rPr>
                      <w:rFonts w:ascii="Cambria Math" w:hAnsi="Cambria Math"/>
                    </w:rPr>
                    <m:t>y</m:t>
                  </m:r>
                  <m:ctrlPr>
                    <w:rPr>
                      <w:rFonts w:ascii="Cambria Math" w:hAnsi="Cambria Math"/>
                      <w:i/>
                    </w:rPr>
                  </m:ctrlPr>
                </m:sub>
                <m:sup>
                  <m:r>
                    <m:rPr/>
                    <w:rPr>
                      <w:rFonts w:ascii="Cambria Math" w:hAnsi="Cambria Math"/>
                    </w:rPr>
                    <m:t>−</m:t>
                  </m:r>
                  <m:ctrlPr>
                    <w:rPr>
                      <w:rFonts w:ascii="Cambria Math" w:hAnsi="Cambria Math"/>
                      <w:i/>
                    </w:rPr>
                  </m:ctrlPr>
                </m:sup>
              </m:sSubSup>
            </m:oMath>
            <w:r>
              <w:rPr>
                <w:rFonts w:hint="eastAsia" w:hAnsi="宋体"/>
              </w:rPr>
              <w:t>相应的水平剪力（kN）。</w:t>
            </w:r>
          </w:p>
          <w:p w14:paraId="60A65A51">
            <w:pPr>
              <w:pStyle w:val="72"/>
              <w:ind w:firstLine="424" w:firstLineChars="202"/>
              <w:rPr>
                <w:rFonts w:hint="eastAsia" w:hAnsi="宋体"/>
              </w:rPr>
            </w:pPr>
          </w:p>
          <w:p w14:paraId="68E3BE19">
            <w:pPr>
              <w:pStyle w:val="72"/>
              <w:ind w:firstLine="424" w:firstLineChars="202"/>
              <w:rPr>
                <w:rFonts w:hint="eastAsia" w:hAnsi="宋体"/>
              </w:rPr>
            </w:pPr>
            <w:r>
              <w:rPr>
                <w:rFonts w:hint="eastAsia" w:hAnsi="宋体"/>
              </w:rPr>
              <w:t>b）方法</w:t>
            </w:r>
            <w:r>
              <w:rPr>
                <w:rFonts w:hAnsi="宋体"/>
              </w:rPr>
              <w:t>二：</w:t>
            </w:r>
          </w:p>
          <w:p w14:paraId="0400BBC6">
            <w:pPr>
              <w:pStyle w:val="72"/>
              <w:ind w:firstLine="420"/>
            </w:pPr>
            <w:r>
              <w:rPr>
                <w:rFonts w:hint="eastAsia"/>
              </w:rPr>
              <w:t>铅芯橡胶支座和</w:t>
            </w:r>
            <w:r>
              <w:t>高阻尼</w:t>
            </w:r>
            <w:r>
              <w:rPr>
                <w:rFonts w:hint="eastAsia"/>
              </w:rPr>
              <w:t>橡胶</w:t>
            </w:r>
            <w:r>
              <w:t>支座</w:t>
            </w:r>
            <w:r>
              <w:rPr>
                <w:rFonts w:hAnsi="宋体"/>
              </w:rPr>
              <w:t>可按GB/T 20688.1-2007</w:t>
            </w:r>
            <w:r>
              <w:rPr>
                <w:rFonts w:hint="eastAsia" w:hAnsi="宋体"/>
              </w:rPr>
              <w:t>附录</w:t>
            </w:r>
            <w:r>
              <w:rPr>
                <w:rFonts w:hAnsi="宋体"/>
              </w:rPr>
              <w:t>G的方法计算。</w:t>
            </w:r>
          </w:p>
        </w:tc>
        <w:tc>
          <w:tcPr>
            <w:tcW w:w="5126" w:type="dxa"/>
          </w:tcPr>
          <w:p w14:paraId="2B30439E">
            <w:pPr>
              <w:pStyle w:val="74"/>
              <w:numPr>
                <w:ilvl w:val="3"/>
                <w:numId w:val="0"/>
              </w:numPr>
              <w:rPr>
                <w:rFonts w:hint="eastAsia" w:ascii="黑体" w:hAnsi="黑体"/>
              </w:rPr>
            </w:pPr>
            <w:r>
              <w:rPr>
                <w:rFonts w:hint="eastAsia" w:ascii="黑体" w:hAnsi="黑体"/>
              </w:rPr>
              <w:t>7.4.9屈服力</w:t>
            </w:r>
          </w:p>
          <w:p w14:paraId="759ED013">
            <w:pPr>
              <w:pStyle w:val="72"/>
              <w:ind w:firstLine="420"/>
            </w:pPr>
            <w:r>
              <w:rPr>
                <w:rFonts w:hint="eastAsia"/>
                <w:bdr w:val="single" w:color="auto" w:sz="4" w:space="0"/>
              </w:rPr>
              <w:t>当试验</w:t>
            </w:r>
            <w:r>
              <w:rPr>
                <w:bdr w:val="single" w:color="auto" w:sz="4" w:space="0"/>
              </w:rPr>
              <w:t>滞回曲线</w:t>
            </w:r>
            <w:r>
              <w:rPr>
                <w:rFonts w:hint="eastAsia"/>
                <w:bdr w:val="single" w:color="auto" w:sz="4" w:space="0"/>
              </w:rPr>
              <w:t>比较</w:t>
            </w:r>
            <w:r>
              <w:rPr>
                <w:bdr w:val="single" w:color="auto" w:sz="4" w:space="0"/>
              </w:rPr>
              <w:t>理想，具有明显的最大位移</w:t>
            </w:r>
            <w:r>
              <w:rPr>
                <w:rFonts w:hint="eastAsia"/>
                <w:bdr w:val="single" w:color="auto" w:sz="4" w:space="0"/>
              </w:rPr>
              <w:t>和</w:t>
            </w:r>
            <w:r>
              <w:rPr>
                <w:bdr w:val="single" w:color="auto" w:sz="4" w:space="0"/>
              </w:rPr>
              <w:t>最大剪力特征点</w:t>
            </w:r>
            <w:r>
              <w:rPr>
                <w:rFonts w:hint="eastAsia"/>
                <w:bdr w:val="single" w:color="auto" w:sz="4" w:space="0"/>
              </w:rPr>
              <w:t>以及与</w:t>
            </w:r>
            <w:r>
              <w:rPr>
                <w:bdr w:val="single" w:color="auto" w:sz="4" w:space="0"/>
              </w:rPr>
              <w:t>剪力轴的交点，</w:t>
            </w:r>
            <w:r>
              <w:rPr>
                <w:rFonts w:hint="eastAsia"/>
                <w:bdr w:val="single" w:color="auto" w:sz="4" w:space="0"/>
              </w:rPr>
              <w:t>铅芯橡胶支座和</w:t>
            </w:r>
            <w:r>
              <w:rPr>
                <w:bdr w:val="single" w:color="auto" w:sz="4" w:space="0"/>
              </w:rPr>
              <w:t>高阻尼</w:t>
            </w:r>
            <w:r>
              <w:rPr>
                <w:rFonts w:hint="eastAsia"/>
                <w:bdr w:val="single" w:color="auto" w:sz="4" w:space="0"/>
              </w:rPr>
              <w:t>橡胶</w:t>
            </w:r>
            <w:r>
              <w:rPr>
                <w:bdr w:val="single" w:color="auto" w:sz="4" w:space="0"/>
              </w:rPr>
              <w:t>支座</w:t>
            </w:r>
            <w:r>
              <w:rPr>
                <w:rFonts w:hint="eastAsia"/>
                <w:bdr w:val="single" w:color="auto" w:sz="4" w:space="0"/>
              </w:rPr>
              <w:t>的</w:t>
            </w:r>
            <w:r>
              <w:rPr>
                <w:bdr w:val="single" w:color="auto" w:sz="4" w:space="0"/>
              </w:rPr>
              <w:t>屈服</w:t>
            </w:r>
            <w:r>
              <w:rPr>
                <w:rFonts w:hint="eastAsia"/>
                <w:bdr w:val="single" w:color="auto" w:sz="4" w:space="0"/>
              </w:rPr>
              <w:t>力</w:t>
            </w:r>
            <m:oMath>
              <m:sSub>
                <m:sSubPr>
                  <m:ctrlPr>
                    <w:rPr>
                      <w:rFonts w:ascii="Cambria Math" w:hAnsi="Cambria Math"/>
                      <w:bdr w:val="single" w:color="auto" w:sz="4" w:space="0"/>
                    </w:rPr>
                  </m:ctrlPr>
                </m:sSubPr>
                <m:e>
                  <m:r>
                    <m:rPr/>
                    <w:rPr>
                      <w:rFonts w:ascii="Cambria Math" w:hAnsi="Cambria Math"/>
                      <w:bdr w:val="single" w:color="auto" w:sz="4" w:space="0"/>
                    </w:rPr>
                    <m:t>Q</m:t>
                  </m:r>
                  <m:ctrlPr>
                    <w:rPr>
                      <w:rFonts w:ascii="Cambria Math" w:hAnsi="Cambria Math"/>
                      <w:bdr w:val="single" w:color="auto" w:sz="4" w:space="0"/>
                    </w:rPr>
                  </m:ctrlPr>
                </m:e>
                <m:sub>
                  <m:r>
                    <m:rPr>
                      <m:sty m:val="p"/>
                    </m:rPr>
                    <w:rPr>
                      <w:rFonts w:ascii="Cambria Math" w:hAnsi="Cambria Math"/>
                      <w:bdr w:val="single" w:color="auto" w:sz="4" w:space="0"/>
                    </w:rPr>
                    <m:t>d</m:t>
                  </m:r>
                  <m:ctrlPr>
                    <w:rPr>
                      <w:rFonts w:ascii="Cambria Math" w:hAnsi="Cambria Math"/>
                      <w:bdr w:val="single" w:color="auto" w:sz="4" w:space="0"/>
                    </w:rPr>
                  </m:ctrlPr>
                </m:sub>
              </m:sSub>
            </m:oMath>
            <w:r>
              <w:rPr>
                <w:bdr w:val="single" w:color="auto" w:sz="4" w:space="0"/>
              </w:rPr>
              <w:t>可</w:t>
            </w:r>
            <w:r>
              <w:rPr>
                <w:rFonts w:hint="eastAsia"/>
                <w:bdr w:val="single" w:color="auto" w:sz="4" w:space="0"/>
              </w:rPr>
              <w:t>按</w:t>
            </w:r>
            <w:r>
              <w:rPr>
                <w:bdr w:val="single" w:color="auto" w:sz="4" w:space="0"/>
              </w:rPr>
              <w:t>下列方法</w:t>
            </w:r>
            <w:r>
              <w:rPr>
                <w:rFonts w:hint="eastAsia"/>
                <w:bdr w:val="single" w:color="auto" w:sz="4" w:space="0"/>
              </w:rPr>
              <w:t>一确定</w:t>
            </w:r>
            <w:r>
              <w:rPr>
                <w:bdr w:val="single" w:color="auto" w:sz="4" w:space="0"/>
              </w:rPr>
              <w:t>，否</w:t>
            </w:r>
            <w:r>
              <w:rPr>
                <w:rFonts w:hint="eastAsia"/>
                <w:bdr w:val="single" w:color="auto" w:sz="4" w:space="0"/>
              </w:rPr>
              <w:t>则按</w:t>
            </w:r>
            <w:r>
              <w:rPr>
                <w:bdr w:val="single" w:color="auto" w:sz="4" w:space="0"/>
              </w:rPr>
              <w:t>方法二确定</w:t>
            </w:r>
            <w:r>
              <w:rPr>
                <w:rFonts w:hint="eastAsia"/>
                <w:bdr w:val="single" w:color="auto" w:sz="4" w:space="0"/>
              </w:rPr>
              <w:t>：</w:t>
            </w:r>
          </w:p>
          <w:p w14:paraId="68A15446">
            <w:pPr>
              <w:pStyle w:val="72"/>
              <w:ind w:firstLine="420"/>
            </w:pPr>
            <w:r>
              <w:rPr>
                <w:rFonts w:hint="eastAsia"/>
                <w:bdr w:val="single" w:color="auto" w:sz="4" w:space="0"/>
              </w:rPr>
              <w:t>a )</w:t>
            </w:r>
            <w:r>
              <w:rPr>
                <w:rFonts w:hint="eastAsia"/>
              </w:rPr>
              <w:t>方法</w:t>
            </w:r>
            <w:r>
              <w:t>一：</w:t>
            </w:r>
          </w:p>
          <w:p w14:paraId="102AE683">
            <w:pPr>
              <w:pStyle w:val="72"/>
              <w:ind w:firstLine="420"/>
              <w:rPr>
                <w:rFonts w:cs="Times New Roman"/>
              </w:rPr>
            </w:pPr>
            <w:r>
              <w:rPr>
                <w:rFonts w:hint="eastAsia"/>
              </w:rPr>
              <w:t>对于铅芯橡胶支座和</w:t>
            </w:r>
            <w:r>
              <w:t>高阻尼</w:t>
            </w:r>
            <w:r>
              <w:rPr>
                <w:rFonts w:hint="eastAsia"/>
              </w:rPr>
              <w:t>橡胶</w:t>
            </w:r>
            <w:r>
              <w:t>支座</w:t>
            </w:r>
            <w:r>
              <w:rPr>
                <w:rFonts w:hint="eastAsia"/>
              </w:rPr>
              <w:t>，屈服力应根据</w:t>
            </w:r>
            <w:r>
              <w:rPr>
                <w:rFonts w:hint="eastAsia" w:hAnsi="宋体"/>
              </w:rPr>
              <w:t>γ</w:t>
            </w:r>
            <w:r>
              <w:t>=100%</w:t>
            </w:r>
            <w:r>
              <w:rPr>
                <w:rFonts w:hint="eastAsia"/>
              </w:rPr>
              <w:t>，加载频率</w:t>
            </w:r>
            <w:r>
              <w:t>f</w:t>
            </w:r>
            <w:r>
              <w:rPr>
                <w:rFonts w:hint="eastAsia"/>
              </w:rPr>
              <w:t>不低于</w:t>
            </w:r>
            <w:r>
              <w:t>0.02Hz</w:t>
            </w:r>
            <w:r>
              <w:rPr>
                <w:rFonts w:hint="eastAsia"/>
              </w:rPr>
              <w:t>试验的第</w:t>
            </w:r>
            <w:r>
              <w:t>3</w:t>
            </w:r>
            <w:r>
              <w:rPr>
                <w:rFonts w:hint="eastAsia"/>
              </w:rPr>
              <w:t>条滞回曲线按式(4)确定：</w:t>
            </w:r>
          </w:p>
          <w:p w14:paraId="58D9E457">
            <w:pPr>
              <w:pStyle w:val="72"/>
              <w:ind w:firstLine="420"/>
            </w:pPr>
            <w:r>
              <w:drawing>
                <wp:inline distT="0" distB="0" distL="114300" distR="114300">
                  <wp:extent cx="2795270" cy="321945"/>
                  <wp:effectExtent l="0" t="0" r="5080" b="1905"/>
                  <wp:docPr id="5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6"/>
                          <pic:cNvPicPr>
                            <a:picLocks noChangeAspect="1"/>
                          </pic:cNvPicPr>
                        </pic:nvPicPr>
                        <pic:blipFill>
                          <a:blip r:embed="rId33"/>
                          <a:stretch>
                            <a:fillRect/>
                          </a:stretch>
                        </pic:blipFill>
                        <pic:spPr>
                          <a:xfrm>
                            <a:off x="0" y="0"/>
                            <a:ext cx="2795270" cy="321945"/>
                          </a:xfrm>
                          <a:prstGeom prst="rect">
                            <a:avLst/>
                          </a:prstGeom>
                          <a:noFill/>
                          <a:ln>
                            <a:noFill/>
                          </a:ln>
                        </pic:spPr>
                      </pic:pic>
                    </a:graphicData>
                  </a:graphic>
                </wp:inline>
              </w:drawing>
            </w:r>
          </w:p>
          <w:p w14:paraId="3A19B2A6">
            <w:pPr>
              <w:pStyle w:val="72"/>
              <w:ind w:firstLine="424" w:firstLineChars="202"/>
            </w:pPr>
            <w:r>
              <w:rPr>
                <w:rFonts w:hint="eastAsia"/>
              </w:rPr>
              <w:t>式中：</w:t>
            </w:r>
          </w:p>
          <w:p w14:paraId="06E76A5E">
            <w:pPr>
              <w:pStyle w:val="72"/>
              <w:ind w:firstLine="424" w:firstLineChars="202"/>
            </w:pPr>
            <m:oMath>
              <m:sSub>
                <m:sSubPr>
                  <m:ctrlPr>
                    <w:rPr>
                      <w:rFonts w:ascii="Cambria Math" w:hAnsi="Cambria Math"/>
                    </w:rPr>
                  </m:ctrlPr>
                </m:sSubPr>
                <m:e>
                  <m:r>
                    <m:rPr/>
                    <w:rPr>
                      <w:rFonts w:ascii="Cambria Math" w:hAnsi="Cambria Math"/>
                    </w:rPr>
                    <m:t>Q</m:t>
                  </m:r>
                  <m:ctrlPr>
                    <w:rPr>
                      <w:rFonts w:ascii="Cambria Math" w:hAnsi="Cambria Math"/>
                    </w:rPr>
                  </m:ctrlPr>
                </m:e>
                <m:sub>
                  <m:r>
                    <m:rPr>
                      <m:sty m:val="p"/>
                    </m:rPr>
                    <w:rPr>
                      <w:rFonts w:ascii="Cambria Math" w:hAnsi="Cambria Math"/>
                    </w:rPr>
                    <m:t>d</m:t>
                  </m:r>
                  <m:ctrlPr>
                    <w:rPr>
                      <w:rFonts w:ascii="Cambria Math" w:hAnsi="Cambria Math"/>
                    </w:rPr>
                  </m:ctrlPr>
                </m:sub>
              </m:sSub>
            </m:oMath>
            <w:r>
              <w:t>——</w:t>
            </w:r>
            <w:r>
              <w:rPr>
                <w:rFonts w:hint="eastAsia"/>
              </w:rPr>
              <w:t>屈服力（kN）;</w:t>
            </w:r>
          </w:p>
          <w:p w14:paraId="76E84660">
            <w:pPr>
              <w:pStyle w:val="72"/>
              <w:ind w:firstLine="424" w:firstLineChars="202"/>
            </w:pPr>
            <m:oMath>
              <m:sSubSup>
                <m:sSubSupPr>
                  <m:ctrlPr>
                    <w:rPr>
                      <w:rFonts w:ascii="Cambria Math" w:hAnsi="Cambria Math"/>
                      <w:i/>
                    </w:rPr>
                  </m:ctrlPr>
                </m:sSubSupPr>
                <m:e>
                  <m:r>
                    <m:rPr/>
                    <w:rPr>
                      <w:rFonts w:ascii="Cambria Math" w:hAnsi="Cambria Math"/>
                    </w:rPr>
                    <m:t>Q</m:t>
                  </m:r>
                  <m:ctrlPr>
                    <w:rPr>
                      <w:rFonts w:ascii="Cambria Math" w:hAnsi="Cambria Math"/>
                      <w:i/>
                    </w:rPr>
                  </m:ctrlPr>
                </m:e>
                <m:sub>
                  <m:r>
                    <m:rPr>
                      <m:sty m:val="p"/>
                    </m:rPr>
                    <w:rPr>
                      <w:rFonts w:ascii="Cambria Math" w:hAnsi="Cambria Math"/>
                    </w:rPr>
                    <m:t>y</m:t>
                  </m:r>
                  <m:ctrlPr>
                    <w:rPr>
                      <w:rFonts w:ascii="Cambria Math" w:hAnsi="Cambria Math"/>
                      <w:i/>
                    </w:rPr>
                  </m:ctrlPr>
                </m:sub>
                <m:sup>
                  <m:r>
                    <m:rPr/>
                    <w:rPr>
                      <w:rFonts w:ascii="Cambria Math" w:hAnsi="Cambria Math"/>
                    </w:rPr>
                    <m:t>+</m:t>
                  </m:r>
                  <m:ctrlPr>
                    <w:rPr>
                      <w:rFonts w:ascii="Cambria Math" w:hAnsi="Cambria Math"/>
                      <w:i/>
                    </w:rPr>
                  </m:ctrlPr>
                </m:sup>
              </m:sSubSup>
            </m:oMath>
            <w:r>
              <w:t>——</w:t>
            </w:r>
            <w:r>
              <w:rPr>
                <w:rFonts w:hint="eastAsia"/>
              </w:rPr>
              <w:t>与</w:t>
            </w:r>
            <m:oMath>
              <m:sSubSup>
                <m:sSubSupPr>
                  <m:ctrlPr>
                    <w:rPr>
                      <w:rFonts w:ascii="Cambria Math" w:hAnsi="Cambria Math"/>
                      <w:i/>
                    </w:rPr>
                  </m:ctrlPr>
                </m:sSubSupPr>
                <m:e>
                  <m:r>
                    <m:rPr/>
                    <w:rPr>
                      <w:rFonts w:ascii="Cambria Math" w:hAnsi="Cambria Math"/>
                    </w:rPr>
                    <m:t>U</m:t>
                  </m:r>
                  <m:ctrlPr>
                    <w:rPr>
                      <w:rFonts w:ascii="Cambria Math" w:hAnsi="Cambria Math"/>
                      <w:i/>
                    </w:rPr>
                  </m:ctrlPr>
                </m:e>
                <m:sub>
                  <m:r>
                    <m:rPr>
                      <m:sty m:val="p"/>
                    </m:rPr>
                    <w:rPr>
                      <w:rFonts w:ascii="Cambria Math" w:hAnsi="Cambria Math"/>
                    </w:rPr>
                    <m:t>y</m:t>
                  </m:r>
                  <m:ctrlPr>
                    <w:rPr>
                      <w:rFonts w:ascii="Cambria Math" w:hAnsi="Cambria Math"/>
                      <w:i/>
                    </w:rPr>
                  </m:ctrlPr>
                </m:sub>
                <m:sup>
                  <m:r>
                    <m:rPr/>
                    <w:rPr>
                      <w:rFonts w:ascii="Cambria Math" w:hAnsi="Cambria Math"/>
                    </w:rPr>
                    <m:t>+</m:t>
                  </m:r>
                  <m:ctrlPr>
                    <w:rPr>
                      <w:rFonts w:ascii="Cambria Math" w:hAnsi="Cambria Math"/>
                      <w:i/>
                    </w:rPr>
                  </m:ctrlPr>
                </m:sup>
              </m:sSubSup>
            </m:oMath>
            <w:r>
              <w:rPr>
                <w:rFonts w:hint="eastAsia"/>
              </w:rPr>
              <w:t>相应的水平剪力（kN）;</w:t>
            </w:r>
          </w:p>
          <w:p w14:paraId="47E0D3D9">
            <w:pPr>
              <w:pStyle w:val="72"/>
              <w:ind w:firstLine="424" w:firstLineChars="202"/>
              <w:rPr>
                <w:rFonts w:hint="eastAsia" w:hAnsi="宋体"/>
              </w:rPr>
            </w:pPr>
            <m:oMath>
              <m:sSubSup>
                <m:sSubSupPr>
                  <m:ctrlPr>
                    <w:rPr>
                      <w:rFonts w:ascii="Cambria Math" w:hAnsi="Cambria Math"/>
                      <w:i/>
                    </w:rPr>
                  </m:ctrlPr>
                </m:sSubSupPr>
                <m:e>
                  <m:r>
                    <m:rPr/>
                    <w:rPr>
                      <w:rFonts w:ascii="Cambria Math" w:hAnsi="Cambria Math"/>
                    </w:rPr>
                    <m:t>Q</m:t>
                  </m:r>
                  <m:ctrlPr>
                    <w:rPr>
                      <w:rFonts w:ascii="Cambria Math" w:hAnsi="Cambria Math"/>
                      <w:i/>
                    </w:rPr>
                  </m:ctrlPr>
                </m:e>
                <m:sub>
                  <m:r>
                    <m:rPr>
                      <m:sty m:val="p"/>
                    </m:rPr>
                    <w:rPr>
                      <w:rFonts w:ascii="Cambria Math" w:hAnsi="Cambria Math"/>
                    </w:rPr>
                    <m:t>y</m:t>
                  </m:r>
                  <m:ctrlPr>
                    <w:rPr>
                      <w:rFonts w:ascii="Cambria Math" w:hAnsi="Cambria Math"/>
                      <w:i/>
                    </w:rPr>
                  </m:ctrlPr>
                </m:sub>
                <m:sup>
                  <m:r>
                    <m:rPr/>
                    <w:rPr>
                      <w:rFonts w:ascii="Cambria Math" w:hAnsi="Cambria Math"/>
                    </w:rPr>
                    <m:t>−</m:t>
                  </m:r>
                  <m:ctrlPr>
                    <w:rPr>
                      <w:rFonts w:ascii="Cambria Math" w:hAnsi="Cambria Math"/>
                      <w:i/>
                    </w:rPr>
                  </m:ctrlPr>
                </m:sup>
              </m:sSubSup>
            </m:oMath>
            <w:r>
              <w:t>——</w:t>
            </w:r>
            <w:r>
              <w:rPr>
                <w:rFonts w:hint="eastAsia"/>
              </w:rPr>
              <w:t>与</w:t>
            </w:r>
            <m:oMath>
              <m:sSubSup>
                <m:sSubSupPr>
                  <m:ctrlPr>
                    <w:rPr>
                      <w:rFonts w:ascii="Cambria Math" w:hAnsi="Cambria Math"/>
                      <w:i/>
                    </w:rPr>
                  </m:ctrlPr>
                </m:sSubSupPr>
                <m:e>
                  <m:r>
                    <m:rPr/>
                    <w:rPr>
                      <w:rFonts w:ascii="Cambria Math" w:hAnsi="Cambria Math"/>
                    </w:rPr>
                    <m:t>U</m:t>
                  </m:r>
                  <m:ctrlPr>
                    <w:rPr>
                      <w:rFonts w:ascii="Cambria Math" w:hAnsi="Cambria Math"/>
                      <w:i/>
                    </w:rPr>
                  </m:ctrlPr>
                </m:e>
                <m:sub>
                  <m:r>
                    <m:rPr>
                      <m:sty m:val="p"/>
                    </m:rPr>
                    <w:rPr>
                      <w:rFonts w:ascii="Cambria Math" w:hAnsi="Cambria Math"/>
                    </w:rPr>
                    <m:t>y</m:t>
                  </m:r>
                  <m:ctrlPr>
                    <w:rPr>
                      <w:rFonts w:ascii="Cambria Math" w:hAnsi="Cambria Math"/>
                      <w:i/>
                    </w:rPr>
                  </m:ctrlPr>
                </m:sub>
                <m:sup>
                  <m:r>
                    <m:rPr/>
                    <w:rPr>
                      <w:rFonts w:ascii="Cambria Math" w:hAnsi="Cambria Math"/>
                    </w:rPr>
                    <m:t>−</m:t>
                  </m:r>
                  <m:ctrlPr>
                    <w:rPr>
                      <w:rFonts w:ascii="Cambria Math" w:hAnsi="Cambria Math"/>
                      <w:i/>
                    </w:rPr>
                  </m:ctrlPr>
                </m:sup>
              </m:sSubSup>
            </m:oMath>
            <w:r>
              <w:rPr>
                <w:rFonts w:hint="eastAsia" w:hAnsi="宋体"/>
              </w:rPr>
              <w:t>相应的水平剪力（kN）。</w:t>
            </w:r>
          </w:p>
          <w:p w14:paraId="172C1928">
            <w:pPr>
              <w:pStyle w:val="72"/>
              <w:ind w:firstLine="424" w:firstLineChars="202"/>
              <w:rPr>
                <w:rFonts w:hint="eastAsia" w:hAnsi="宋体"/>
              </w:rPr>
            </w:pPr>
          </w:p>
          <w:p w14:paraId="11CDC789">
            <w:pPr>
              <w:pStyle w:val="72"/>
              <w:ind w:firstLine="424" w:firstLineChars="202"/>
              <w:rPr>
                <w:rFonts w:hint="eastAsia" w:hAnsi="宋体"/>
              </w:rPr>
            </w:pPr>
            <w:r>
              <w:rPr>
                <w:rFonts w:hint="eastAsia" w:hAnsi="宋体"/>
                <w:bdr w:val="single" w:color="auto" w:sz="4" w:space="0"/>
              </w:rPr>
              <w:t>b）</w:t>
            </w:r>
            <w:r>
              <w:rPr>
                <w:rFonts w:hint="eastAsia" w:hAnsi="宋体"/>
              </w:rPr>
              <w:t>方法</w:t>
            </w:r>
            <w:r>
              <w:rPr>
                <w:rFonts w:hAnsi="宋体"/>
              </w:rPr>
              <w:t>二：</w:t>
            </w:r>
          </w:p>
          <w:p w14:paraId="1E6C887F">
            <w:pPr>
              <w:pStyle w:val="72"/>
              <w:ind w:firstLine="420"/>
            </w:pPr>
            <w:r>
              <w:rPr>
                <w:rFonts w:hint="eastAsia"/>
              </w:rPr>
              <w:t>铅芯橡胶支座和</w:t>
            </w:r>
            <w:r>
              <w:t>高阻尼</w:t>
            </w:r>
            <w:r>
              <w:rPr>
                <w:rFonts w:hint="eastAsia"/>
              </w:rPr>
              <w:t>橡胶</w:t>
            </w:r>
            <w:r>
              <w:t>支座</w:t>
            </w:r>
            <w:r>
              <w:rPr>
                <w:rFonts w:hAnsi="宋体"/>
              </w:rPr>
              <w:t>可按GB/T 20688.1</w:t>
            </w:r>
            <w:r>
              <w:rPr>
                <w:rFonts w:hAnsi="宋体"/>
                <w:bdr w:val="single" w:color="auto" w:sz="4" w:space="0"/>
              </w:rPr>
              <w:t>-2007</w:t>
            </w:r>
            <w:r>
              <w:rPr>
                <w:rFonts w:hint="eastAsia" w:hAnsi="宋体"/>
                <w:bdr w:val="single" w:color="auto" w:sz="4" w:space="0"/>
              </w:rPr>
              <w:t>附录</w:t>
            </w:r>
            <w:r>
              <w:rPr>
                <w:rFonts w:hAnsi="宋体"/>
                <w:bdr w:val="single" w:color="auto" w:sz="4" w:space="0"/>
              </w:rPr>
              <w:t>G</w:t>
            </w:r>
            <w:r>
              <w:rPr>
                <w:rFonts w:hAnsi="宋体"/>
              </w:rPr>
              <w:t>的方法计算。</w:t>
            </w:r>
          </w:p>
        </w:tc>
      </w:tr>
      <w:tr w14:paraId="15CEA9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tcPr>
          <w:p w14:paraId="2867E00F">
            <w:pPr>
              <w:pStyle w:val="74"/>
              <w:numPr>
                <w:ilvl w:val="3"/>
                <w:numId w:val="0"/>
              </w:numPr>
              <w:jc w:val="both"/>
              <w:rPr>
                <w:rFonts w:hint="eastAsia" w:ascii="黑体" w:hAnsi="黑体"/>
              </w:rPr>
            </w:pPr>
            <w:r>
              <w:rPr>
                <w:rFonts w:hint="eastAsia" w:ascii="黑体" w:hAnsi="黑体"/>
              </w:rPr>
              <w:t>7.4.11水平极限变形</w:t>
            </w:r>
            <w:r>
              <w:rPr>
                <w:rFonts w:ascii="黑体" w:hAnsi="黑体"/>
              </w:rPr>
              <w:t>能力</w:t>
            </w:r>
          </w:p>
          <w:p w14:paraId="340B78EA">
            <w:pPr>
              <w:autoSpaceDE w:val="0"/>
              <w:autoSpaceDN w:val="0"/>
              <w:adjustRightInd w:val="0"/>
              <w:ind w:firstLine="420" w:firstLineChars="200"/>
            </w:pPr>
            <w:r>
              <w:rPr>
                <w:rFonts w:hint="eastAsia"/>
              </w:rPr>
              <w:t>被试支座在一定竖向压应力作用下，水平向缓慢或分级加载，往复一次，绘出水平荷载和水平位移曲线，同时观察支座四周表现，当支座外观出现明显异常或试验曲线异常时（如内层橡胶与内层钢板明显撕开，并且试验曲线上力和位移没有同时上升），视为破坏。</w:t>
            </w:r>
          </w:p>
          <w:p w14:paraId="372A7E34">
            <w:pPr>
              <w:pStyle w:val="72"/>
              <w:ind w:firstLine="420"/>
            </w:pPr>
            <w:r>
              <w:rPr>
                <w:rFonts w:hint="eastAsia"/>
              </w:rPr>
              <w:t>测量水平极限</w:t>
            </w:r>
            <w:r>
              <w:t>变形能力的竖向压应力，</w:t>
            </w:r>
            <w:r>
              <w:rPr>
                <w:rFonts w:hint="eastAsia"/>
              </w:rPr>
              <w:t>当</w:t>
            </w:r>
            <w:r>
              <w:t>S2</w:t>
            </w:r>
            <w:r>
              <w:rPr>
                <w:rFonts w:hint="eastAsia"/>
              </w:rPr>
              <w:t>不小于5时</w:t>
            </w:r>
            <w:r>
              <w:t>，</w:t>
            </w:r>
            <w:r>
              <w:rPr>
                <w:rFonts w:hint="eastAsia"/>
              </w:rPr>
              <w:t>型式</w:t>
            </w:r>
            <w:r>
              <w:t>检验</w:t>
            </w:r>
            <w:r>
              <w:rPr>
                <w:rFonts w:hint="eastAsia"/>
              </w:rPr>
              <w:t>取</w:t>
            </w:r>
            <w:r>
              <w:t>15MPa</w:t>
            </w:r>
            <w:r>
              <w:rPr>
                <w:rFonts w:hint="eastAsia"/>
              </w:rPr>
              <w:t>，出厂检验</w:t>
            </w:r>
            <w:r>
              <w:t>取</w:t>
            </w:r>
            <w:r>
              <w:rPr>
                <w:rFonts w:hint="eastAsia"/>
              </w:rPr>
              <w:t>设计压应力；当</w:t>
            </w:r>
            <w:r>
              <w:t>S</w:t>
            </w:r>
            <w:r>
              <w:rPr>
                <w:vertAlign w:val="subscript"/>
              </w:rPr>
              <w:t>2</w:t>
            </w:r>
            <w:r>
              <w:rPr>
                <w:rFonts w:hint="eastAsia"/>
              </w:rPr>
              <w:t>不小于4且小于5时，</w:t>
            </w:r>
            <w:r>
              <w:t>竖向压应力</w:t>
            </w:r>
            <w:r>
              <w:rPr>
                <w:rFonts w:hint="eastAsia"/>
              </w:rPr>
              <w:t>降低</w:t>
            </w:r>
            <w:r>
              <w:t>20%</w:t>
            </w:r>
            <w:r>
              <w:rPr>
                <w:rFonts w:hint="eastAsia"/>
              </w:rPr>
              <w:t>；当</w:t>
            </w:r>
            <w:r>
              <w:t>S</w:t>
            </w:r>
            <w:r>
              <w:rPr>
                <w:vertAlign w:val="subscript"/>
              </w:rPr>
              <w:t>2</w:t>
            </w:r>
            <w:r>
              <w:rPr>
                <w:rFonts w:hint="eastAsia"/>
              </w:rPr>
              <w:t>不小于3且小于4时，</w:t>
            </w:r>
            <w:r>
              <w:t>竖向压应力</w:t>
            </w:r>
            <w:r>
              <w:rPr>
                <w:rFonts w:hint="eastAsia"/>
              </w:rPr>
              <w:t>降低</w:t>
            </w:r>
            <w:r>
              <w:t>40%</w:t>
            </w:r>
            <w:r>
              <w:rPr>
                <w:rFonts w:hint="eastAsia"/>
              </w:rPr>
              <w:t>。</w:t>
            </w:r>
          </w:p>
        </w:tc>
        <w:tc>
          <w:tcPr>
            <w:tcW w:w="5126" w:type="dxa"/>
          </w:tcPr>
          <w:p w14:paraId="74385885">
            <w:pPr>
              <w:pStyle w:val="74"/>
              <w:numPr>
                <w:ilvl w:val="3"/>
                <w:numId w:val="0"/>
              </w:numPr>
              <w:rPr>
                <w:rFonts w:hint="eastAsia" w:ascii="黑体" w:hAnsi="黑体"/>
              </w:rPr>
            </w:pPr>
            <w:r>
              <w:rPr>
                <w:rFonts w:hint="eastAsia" w:ascii="黑体" w:hAnsi="黑体"/>
              </w:rPr>
              <w:t>7.4.11水平极限变形</w:t>
            </w:r>
            <w:r>
              <w:rPr>
                <w:rFonts w:ascii="黑体" w:hAnsi="黑体"/>
              </w:rPr>
              <w:t>能力</w:t>
            </w:r>
          </w:p>
          <w:p w14:paraId="30A8D908">
            <w:pPr>
              <w:autoSpaceDE w:val="0"/>
              <w:autoSpaceDN w:val="0"/>
              <w:adjustRightInd w:val="0"/>
              <w:ind w:firstLine="420" w:firstLineChars="200"/>
              <w:jc w:val="left"/>
            </w:pPr>
            <w:r>
              <w:rPr>
                <w:rFonts w:hint="eastAsia"/>
              </w:rPr>
              <w:t>被试支座在一定竖向压应力作用下</w:t>
            </w:r>
            <w:r>
              <w:rPr>
                <w:rFonts w:hint="eastAsia"/>
                <w:bdr w:val="single" w:color="auto" w:sz="4" w:space="0"/>
              </w:rPr>
              <w:t>，水平向缓慢或分级加载，往复一次</w:t>
            </w:r>
            <w:r>
              <w:rPr>
                <w:rFonts w:hint="eastAsia"/>
              </w:rPr>
              <w:t>，</w:t>
            </w:r>
            <w:r>
              <w:rPr>
                <w:rFonts w:hint="eastAsia" w:ascii="宋体" w:cs="宋体"/>
                <w:kern w:val="0"/>
                <w:u w:val="single"/>
              </w:rPr>
              <w:t>加载频率f不低于</w:t>
            </w:r>
            <w:r>
              <w:rPr>
                <w:rFonts w:ascii="宋体" w:cs="宋体"/>
                <w:kern w:val="0"/>
                <w:u w:val="single"/>
              </w:rPr>
              <w:t>0.</w:t>
            </w:r>
            <w:r>
              <w:rPr>
                <w:rFonts w:hint="eastAsia" w:ascii="宋体" w:cs="宋体"/>
                <w:kern w:val="0"/>
                <w:u w:val="single"/>
              </w:rPr>
              <w:t>02Hz</w:t>
            </w:r>
            <w:r>
              <w:rPr>
                <w:rFonts w:hint="eastAsia"/>
                <w:u w:val="single"/>
              </w:rPr>
              <w:t>，</w:t>
            </w:r>
            <w:r>
              <w:rPr>
                <w:rFonts w:hint="eastAsia" w:ascii="宋体" w:cs="宋体"/>
                <w:kern w:val="0"/>
                <w:u w:val="single"/>
              </w:rPr>
              <w:t>连续水平加载3圈</w:t>
            </w:r>
            <w:r>
              <w:rPr>
                <w:rFonts w:hint="eastAsia"/>
                <w:u w:val="single"/>
              </w:rPr>
              <w:t>，</w:t>
            </w:r>
            <w:r>
              <w:rPr>
                <w:rFonts w:hint="eastAsia"/>
              </w:rPr>
              <w:t>绘出水平荷载和水平位移曲线，同时观察支座四周表现，当支座外观出现明显异常或试验曲线异常时（如内层橡胶与内层钢板明显撕开，并且试验曲线上力和位移没有同时上升），视为破坏。</w:t>
            </w:r>
          </w:p>
          <w:p w14:paraId="589AE557">
            <w:pPr>
              <w:pStyle w:val="72"/>
              <w:ind w:firstLine="420"/>
            </w:pPr>
            <w:r>
              <w:rPr>
                <w:rFonts w:hint="eastAsia"/>
              </w:rPr>
              <w:t>测量水平极限</w:t>
            </w:r>
            <w:r>
              <w:t>变形能力的竖向压应力，</w:t>
            </w:r>
            <w:r>
              <w:rPr>
                <w:rFonts w:hint="eastAsia"/>
              </w:rPr>
              <w:t>当</w:t>
            </w:r>
            <w:r>
              <w:t>S2</w:t>
            </w:r>
            <w:r>
              <w:rPr>
                <w:rFonts w:hint="eastAsia"/>
              </w:rPr>
              <w:t>不小于5时</w:t>
            </w:r>
            <w:r>
              <w:t>，</w:t>
            </w:r>
            <w:r>
              <w:rPr>
                <w:rFonts w:hint="eastAsia"/>
              </w:rPr>
              <w:t>型式</w:t>
            </w:r>
            <w:r>
              <w:t>检验</w:t>
            </w:r>
            <w:r>
              <w:rPr>
                <w:rFonts w:hint="eastAsia"/>
              </w:rPr>
              <w:t>取</w:t>
            </w:r>
            <w:r>
              <w:t>15MPa</w:t>
            </w:r>
            <w:r>
              <w:rPr>
                <w:rFonts w:hint="eastAsia"/>
              </w:rPr>
              <w:t>，出厂检验</w:t>
            </w:r>
            <w:r>
              <w:t>取</w:t>
            </w:r>
            <w:r>
              <w:rPr>
                <w:rFonts w:hint="eastAsia"/>
              </w:rPr>
              <w:t>设计压应力；当</w:t>
            </w:r>
            <w:r>
              <w:t>S</w:t>
            </w:r>
            <w:r>
              <w:rPr>
                <w:vertAlign w:val="subscript"/>
              </w:rPr>
              <w:t>2</w:t>
            </w:r>
            <w:r>
              <w:rPr>
                <w:rFonts w:hint="eastAsia"/>
                <w:bdr w:val="single" w:color="auto" w:sz="4" w:space="0"/>
              </w:rPr>
              <w:t>不</w:t>
            </w:r>
            <w:r>
              <w:rPr>
                <w:rFonts w:hint="eastAsia"/>
              </w:rPr>
              <w:t>小于</w:t>
            </w:r>
            <w:r>
              <w:rPr>
                <w:rFonts w:hint="eastAsia"/>
                <w:bdr w:val="single" w:color="auto" w:sz="2" w:space="0"/>
              </w:rPr>
              <w:t>4</w:t>
            </w:r>
            <w:r>
              <w:rPr>
                <w:rFonts w:hint="eastAsia"/>
                <w:u w:val="single"/>
              </w:rPr>
              <w:t>5</w:t>
            </w:r>
            <w:r>
              <w:rPr>
                <w:rFonts w:hint="eastAsia"/>
                <w:bdr w:val="single" w:color="auto" w:sz="4" w:space="0"/>
              </w:rPr>
              <w:t>且</w:t>
            </w:r>
            <w:r>
              <w:rPr>
                <w:rFonts w:hint="eastAsia"/>
              </w:rPr>
              <w:t>不小于</w:t>
            </w:r>
            <w:r>
              <w:rPr>
                <w:rFonts w:hint="eastAsia"/>
                <w:bdr w:val="single" w:color="auto" w:sz="2" w:space="0"/>
              </w:rPr>
              <w:t>5</w:t>
            </w:r>
            <w:r>
              <w:rPr>
                <w:rFonts w:hint="eastAsia"/>
                <w:u w:val="single"/>
              </w:rPr>
              <w:t>4</w:t>
            </w:r>
            <w:r>
              <w:rPr>
                <w:rFonts w:hint="eastAsia"/>
              </w:rPr>
              <w:t>时</w:t>
            </w:r>
            <w:r>
              <w:rPr>
                <w:rFonts w:hint="eastAsia"/>
                <w:bdr w:val="single" w:color="auto" w:sz="4" w:space="0"/>
              </w:rPr>
              <w:t>，</w:t>
            </w:r>
            <w:r>
              <w:t>竖向压应力</w:t>
            </w:r>
            <w:r>
              <w:rPr>
                <w:rFonts w:hint="eastAsia"/>
              </w:rPr>
              <w:t>降低</w:t>
            </w:r>
            <w:r>
              <w:t>20%</w:t>
            </w:r>
            <w:r>
              <w:rPr>
                <w:rFonts w:hint="eastAsia"/>
              </w:rPr>
              <w:t>；当</w:t>
            </w:r>
            <w:r>
              <w:t>S</w:t>
            </w:r>
            <w:r>
              <w:rPr>
                <w:vertAlign w:val="subscript"/>
              </w:rPr>
              <w:t>2</w:t>
            </w:r>
            <w:r>
              <w:rPr>
                <w:rFonts w:hint="eastAsia"/>
                <w:bdr w:val="single" w:color="auto" w:sz="4" w:space="0"/>
              </w:rPr>
              <w:t>不</w:t>
            </w:r>
            <w:r>
              <w:rPr>
                <w:rFonts w:hint="eastAsia"/>
              </w:rPr>
              <w:t>小于</w:t>
            </w:r>
            <w:r>
              <w:rPr>
                <w:rFonts w:hint="eastAsia"/>
                <w:bdr w:val="single" w:color="auto" w:sz="2" w:space="0"/>
              </w:rPr>
              <w:t>3</w:t>
            </w:r>
            <w:r>
              <w:rPr>
                <w:rFonts w:hint="eastAsia"/>
                <w:u w:val="single"/>
              </w:rPr>
              <w:t>4</w:t>
            </w:r>
            <w:r>
              <w:rPr>
                <w:rFonts w:hint="eastAsia"/>
                <w:bdr w:val="single" w:color="auto" w:sz="4" w:space="0"/>
              </w:rPr>
              <w:t>且</w:t>
            </w:r>
            <w:r>
              <w:rPr>
                <w:rFonts w:hint="eastAsia"/>
              </w:rPr>
              <w:t>小于</w:t>
            </w:r>
            <w:r>
              <w:rPr>
                <w:rFonts w:hint="eastAsia"/>
                <w:bdr w:val="single" w:color="auto" w:sz="2" w:space="0"/>
              </w:rPr>
              <w:t>4</w:t>
            </w:r>
            <w:r>
              <w:rPr>
                <w:rFonts w:hint="eastAsia"/>
                <w:u w:val="single"/>
              </w:rPr>
              <w:t>3</w:t>
            </w:r>
            <w:r>
              <w:rPr>
                <w:rFonts w:hint="eastAsia"/>
              </w:rPr>
              <w:t>时</w:t>
            </w:r>
            <w:r>
              <w:rPr>
                <w:rFonts w:hint="eastAsia"/>
                <w:bdr w:val="single" w:color="auto" w:sz="4" w:space="0"/>
              </w:rPr>
              <w:t>，</w:t>
            </w:r>
            <w:r>
              <w:t>竖向压应力</w:t>
            </w:r>
            <w:r>
              <w:rPr>
                <w:rFonts w:hint="eastAsia"/>
              </w:rPr>
              <w:t>降低</w:t>
            </w:r>
            <w:r>
              <w:t>40%</w:t>
            </w:r>
            <w:r>
              <w:rPr>
                <w:rFonts w:hint="eastAsia"/>
              </w:rPr>
              <w:t>。</w:t>
            </w:r>
          </w:p>
          <w:p w14:paraId="495D27DA">
            <w:pPr>
              <w:pStyle w:val="72"/>
              <w:ind w:firstLine="420"/>
            </w:pPr>
            <w:r>
              <w:rPr>
                <w:rFonts w:hint="eastAsia"/>
                <w:u w:val="single"/>
              </w:rPr>
              <w:t>低温极限水平极限变形的控制温度为﹣10℃。</w:t>
            </w:r>
          </w:p>
        </w:tc>
      </w:tr>
      <w:tr w14:paraId="4BE673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344CE610">
            <w:pPr>
              <w:pStyle w:val="72"/>
              <w:ind w:firstLine="420"/>
            </w:pPr>
          </w:p>
        </w:tc>
        <w:tc>
          <w:tcPr>
            <w:tcW w:w="5126" w:type="dxa"/>
          </w:tcPr>
          <w:p w14:paraId="0522D659">
            <w:pPr>
              <w:pStyle w:val="74"/>
              <w:numPr>
                <w:ilvl w:val="3"/>
                <w:numId w:val="0"/>
              </w:numPr>
              <w:rPr>
                <w:rFonts w:hint="eastAsia" w:ascii="宋体" w:hAnsi="宋体" w:eastAsia="宋体"/>
                <w:u w:val="single"/>
              </w:rPr>
            </w:pPr>
            <w:r>
              <w:rPr>
                <w:rFonts w:hint="eastAsia" w:ascii="黑体" w:hAnsi="黑体"/>
                <w:u w:val="single"/>
              </w:rPr>
              <w:t>7.4.12剪切拉伸刚度、剪切拉伸应力和应变</w:t>
            </w:r>
            <w:r>
              <w:rPr>
                <w:rFonts w:hint="eastAsia"/>
                <w:u w:val="single"/>
              </w:rPr>
              <w:t>、拉伸屈服应力</w:t>
            </w:r>
          </w:p>
          <w:p w14:paraId="2485C257">
            <w:pPr>
              <w:pStyle w:val="72"/>
              <w:spacing w:line="276" w:lineRule="auto"/>
              <w:ind w:left="840" w:leftChars="200" w:hanging="420" w:hangingChars="200"/>
              <w:rPr>
                <w:rFonts w:ascii="Times New Roman" w:cs="Times New Roman"/>
                <w:u w:val="single"/>
              </w:rPr>
            </w:pPr>
            <w:r>
              <w:rPr>
                <w:rFonts w:hint="eastAsia" w:ascii="Times New Roman" w:cs="Times New Roman"/>
                <w:u w:val="single"/>
              </w:rPr>
              <w:t>（1）</w:t>
            </w:r>
            <w:r>
              <w:rPr>
                <w:rFonts w:ascii="Times New Roman" w:cs="Times New Roman"/>
                <w:u w:val="single"/>
              </w:rPr>
              <w:t>支座在</w:t>
            </w:r>
            <w:r>
              <w:rPr>
                <w:rFonts w:hint="eastAsia" w:ascii="Times New Roman" w:cs="Times New Roman"/>
                <w:u w:val="single"/>
              </w:rPr>
              <w:t>2</w:t>
            </w:r>
            <w:r>
              <w:rPr>
                <w:rFonts w:ascii="Times New Roman" w:cs="Times New Roman"/>
                <w:u w:val="single"/>
              </w:rPr>
              <w:t>MPa初始压应力、剪应变</w:t>
            </w:r>
            <w:r>
              <w:rPr>
                <w:rFonts w:hint="eastAsia"/>
                <w:u w:val="single"/>
              </w:rPr>
              <w:t>为支座内部橡胶直径的0.55倍状态下</w:t>
            </w:r>
            <w:r>
              <w:rPr>
                <w:rFonts w:ascii="Times New Roman" w:cs="Times New Roman"/>
                <w:u w:val="single"/>
              </w:rPr>
              <w:t>，竖向拉</w:t>
            </w:r>
            <w:r>
              <w:rPr>
                <w:rFonts w:hint="eastAsia" w:ascii="Times New Roman" w:cs="Times New Roman"/>
                <w:u w:val="single"/>
              </w:rPr>
              <w:t>伸位移按5%、10%、30%和</w:t>
            </w:r>
            <w:r>
              <w:rPr>
                <w:rFonts w:ascii="Times New Roman" w:cs="Times New Roman"/>
                <w:u w:val="single"/>
              </w:rPr>
              <w:t>50%</w:t>
            </w:r>
            <w:r>
              <w:rPr>
                <w:rFonts w:hint="eastAsia" w:ascii="Times New Roman" w:cs="Times New Roman"/>
                <w:u w:val="single"/>
              </w:rPr>
              <w:t>支座</w:t>
            </w:r>
            <w:r>
              <w:rPr>
                <w:rFonts w:hint="eastAsia"/>
                <w:u w:val="single"/>
              </w:rPr>
              <w:t>内部橡胶厚度，</w:t>
            </w:r>
            <w:r>
              <w:rPr>
                <w:rFonts w:hint="eastAsia" w:ascii="Times New Roman" w:cs="Times New Roman"/>
                <w:u w:val="single"/>
              </w:rPr>
              <w:t>分别</w:t>
            </w:r>
            <w:r>
              <w:rPr>
                <w:rFonts w:ascii="Times New Roman" w:cs="Times New Roman"/>
                <w:u w:val="single"/>
              </w:rPr>
              <w:t>低速循环拉伸3</w:t>
            </w:r>
            <w:r>
              <w:rPr>
                <w:rFonts w:hint="eastAsia" w:ascii="Times New Roman" w:cs="Times New Roman"/>
                <w:u w:val="single"/>
              </w:rPr>
              <w:t>次。剪切拉伸时，支座</w:t>
            </w:r>
            <w:r>
              <w:rPr>
                <w:rFonts w:ascii="Times New Roman" w:cs="Times New Roman"/>
                <w:u w:val="single"/>
              </w:rPr>
              <w:t>侧向变形均匀，</w:t>
            </w:r>
            <w:r>
              <w:rPr>
                <w:rFonts w:hint="eastAsia"/>
                <w:u w:val="single"/>
              </w:rPr>
              <w:t>支座出现鼓包、凹陷、橡胶撕裂和钢板与橡胶间出现开胶等，均视为破坏</w:t>
            </w:r>
            <w:r>
              <w:rPr>
                <w:rFonts w:hint="eastAsia" w:ascii="Times New Roman" w:cs="Times New Roman"/>
                <w:u w:val="single"/>
              </w:rPr>
              <w:t>；</w:t>
            </w:r>
          </w:p>
          <w:p w14:paraId="3A7D4B50">
            <w:pPr>
              <w:pStyle w:val="72"/>
              <w:spacing w:line="276" w:lineRule="auto"/>
              <w:ind w:left="840" w:leftChars="200" w:hanging="420" w:hangingChars="200"/>
              <w:rPr>
                <w:rFonts w:ascii="Times New Roman" w:cs="Times New Roman"/>
                <w:u w:val="single"/>
              </w:rPr>
            </w:pPr>
            <w:r>
              <w:rPr>
                <w:rFonts w:hint="eastAsia" w:ascii="Times New Roman" w:cs="Times New Roman"/>
                <w:u w:val="single"/>
              </w:rPr>
              <w:t>（2）连接每级加载的第1圈曲线顶点，形成支座</w:t>
            </w:r>
            <w:r>
              <w:rPr>
                <w:rFonts w:ascii="Times New Roman" w:cs="Times New Roman"/>
                <w:u w:val="single"/>
              </w:rPr>
              <w:t>拉力和拉伸位移</w:t>
            </w:r>
            <w:r>
              <w:rPr>
                <w:rFonts w:hint="eastAsia" w:ascii="Times New Roman" w:cs="Times New Roman"/>
                <w:u w:val="single"/>
              </w:rPr>
              <w:t>骨架</w:t>
            </w:r>
            <w:r>
              <w:rPr>
                <w:rFonts w:ascii="Times New Roman" w:cs="Times New Roman"/>
                <w:u w:val="single"/>
              </w:rPr>
              <w:t>曲线，按以下方法求出屈服拉力和拉伸刚度</w:t>
            </w:r>
            <w:r>
              <w:rPr>
                <w:rFonts w:hint="eastAsia" w:ascii="Times New Roman" w:cs="Times New Roman"/>
                <w:u w:val="single"/>
              </w:rPr>
              <w:t>；</w:t>
            </w:r>
          </w:p>
          <w:p w14:paraId="73BF0F61">
            <w:pPr>
              <w:pStyle w:val="72"/>
              <w:spacing w:line="276" w:lineRule="auto"/>
              <w:ind w:left="840" w:leftChars="200" w:hanging="420" w:hangingChars="200"/>
              <w:rPr>
                <w:rFonts w:cs="Times New Roman"/>
                <w:u w:val="single"/>
              </w:rPr>
            </w:pPr>
            <w:r>
              <w:rPr>
                <w:rFonts w:hint="eastAsia"/>
                <w:u w:val="single"/>
              </w:rPr>
              <w:t>（3）通过原点和曲线上与剪切模量2</w:t>
            </w:r>
            <w:r>
              <w:rPr>
                <w:u w:val="single"/>
              </w:rPr>
              <w:t>G</w:t>
            </w:r>
            <w:r>
              <w:rPr>
                <w:rFonts w:hint="eastAsia"/>
                <w:u w:val="single"/>
              </w:rPr>
              <w:t>对应的拉力作一条直线（</w:t>
            </w:r>
            <w:r>
              <w:rPr>
                <w:u w:val="single"/>
              </w:rPr>
              <w:t>G</w:t>
            </w:r>
            <w:r>
              <w:rPr>
                <w:rFonts w:hint="eastAsia"/>
                <w:u w:val="single"/>
              </w:rPr>
              <w:t>为设计压应力、设计剪应变作用下的剪切模量）；</w:t>
            </w:r>
          </w:p>
          <w:p w14:paraId="03BDFBD8">
            <w:pPr>
              <w:pStyle w:val="72"/>
              <w:spacing w:line="276" w:lineRule="auto"/>
              <w:ind w:left="420" w:firstLine="0" w:firstLineChars="0"/>
              <w:rPr>
                <w:rFonts w:cs="Times New Roman"/>
                <w:u w:val="single"/>
              </w:rPr>
            </w:pPr>
            <w:r>
              <w:rPr>
                <w:rFonts w:hint="eastAsia"/>
                <w:u w:val="single"/>
              </w:rPr>
              <w:t>（4）将上述直线水平偏移3</w:t>
            </w:r>
            <w:r>
              <w:rPr>
                <w:u w:val="single"/>
              </w:rPr>
              <w:t>%</w:t>
            </w:r>
            <w:r>
              <w:rPr>
                <w:rFonts w:hint="eastAsia"/>
                <w:u w:val="single"/>
              </w:rPr>
              <w:t>的内部橡胶厚度；</w:t>
            </w:r>
          </w:p>
          <w:p w14:paraId="2A734DD5">
            <w:pPr>
              <w:pStyle w:val="72"/>
              <w:spacing w:line="276" w:lineRule="auto"/>
              <w:ind w:left="420" w:firstLine="0" w:firstLineChars="0"/>
              <w:rPr>
                <w:rFonts w:cs="Times New Roman"/>
                <w:u w:val="single"/>
              </w:rPr>
            </w:pPr>
            <w:r>
              <w:rPr>
                <w:rFonts w:hint="eastAsia"/>
                <w:u w:val="single"/>
              </w:rPr>
              <w:t>（5）偏移线和试验曲线相交点对应的力即为剪切拉伸屈服应力；</w:t>
            </w:r>
          </w:p>
          <w:p w14:paraId="247DBF58">
            <w:pPr>
              <w:pStyle w:val="72"/>
              <w:spacing w:line="276" w:lineRule="auto"/>
              <w:ind w:left="840" w:leftChars="200" w:hanging="420" w:hangingChars="200"/>
              <w:rPr>
                <w:rFonts w:cs="Times New Roman"/>
                <w:u w:val="single"/>
              </w:rPr>
            </w:pPr>
            <w:r>
              <w:rPr>
                <w:rFonts w:hint="eastAsia"/>
                <w:u w:val="single"/>
              </w:rPr>
              <w:t>（6）零点至偏移线和试验曲线相交点对应的刚度即为支座内部橡胶直径的0.55倍剪切变形下的拉刚度；</w:t>
            </w:r>
          </w:p>
          <w:p w14:paraId="07225A14">
            <w:pPr>
              <w:pStyle w:val="72"/>
              <w:ind w:firstLine="420"/>
              <w:rPr>
                <w:u w:val="single"/>
              </w:rPr>
            </w:pPr>
            <w:r>
              <w:rPr>
                <w:rFonts w:hint="eastAsia"/>
                <w:u w:val="single"/>
              </w:rPr>
              <w:t>（7）拉位移为</w:t>
            </w:r>
            <w:r>
              <w:rPr>
                <w:rFonts w:hint="eastAsia" w:ascii="Times New Roman" w:cs="Times New Roman"/>
                <w:u w:val="single"/>
              </w:rPr>
              <w:t>支座</w:t>
            </w:r>
            <w:r>
              <w:rPr>
                <w:rFonts w:hint="eastAsia"/>
                <w:u w:val="single"/>
              </w:rPr>
              <w:t>内部橡胶厚度50%下的第3圈的最大拉应力为竖向极限拉应力。</w:t>
            </w:r>
          </w:p>
        </w:tc>
      </w:tr>
      <w:tr w14:paraId="42CD7D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62DE65BC">
            <w:pPr>
              <w:pStyle w:val="73"/>
              <w:numPr>
                <w:ilvl w:val="2"/>
                <w:numId w:val="0"/>
              </w:numPr>
            </w:pPr>
            <w:r>
              <w:rPr>
                <w:rFonts w:hint="eastAsia" w:cs="黑体"/>
              </w:rPr>
              <w:t>7.5耐久性</w:t>
            </w:r>
          </w:p>
          <w:p w14:paraId="08F1C0F5">
            <w:pPr>
              <w:pStyle w:val="72"/>
              <w:ind w:firstLine="420"/>
              <w:rPr>
                <w:rFonts w:cs="Times New Roman"/>
              </w:rPr>
            </w:pPr>
            <w:r>
              <w:rPr>
                <w:rFonts w:hint="eastAsia"/>
              </w:rPr>
              <w:t>产品的耐久性性能应按表</w:t>
            </w:r>
            <w:r>
              <w:t>10</w:t>
            </w:r>
            <w:r>
              <w:rPr>
                <w:rFonts w:hint="eastAsia"/>
              </w:rPr>
              <w:t>的规定进行。</w:t>
            </w:r>
          </w:p>
          <w:p w14:paraId="3D841A72">
            <w:pPr>
              <w:pStyle w:val="72"/>
              <w:ind w:firstLine="420"/>
              <w:rPr>
                <w:rFonts w:hint="eastAsia" w:ascii="黑体" w:hAnsi="黑体" w:eastAsia="黑体"/>
              </w:rPr>
            </w:pPr>
            <w:r>
              <w:rPr>
                <w:rFonts w:hint="eastAsia" w:ascii="黑体" w:hAnsi="黑体" w:eastAsia="黑体"/>
              </w:rPr>
              <w:t>表</w:t>
            </w:r>
            <w:r>
              <w:rPr>
                <w:rFonts w:ascii="黑体" w:hAnsi="黑体" w:eastAsia="黑体"/>
              </w:rPr>
              <w:t>10</w:t>
            </w:r>
            <w:r>
              <w:rPr>
                <w:rFonts w:hint="eastAsia" w:ascii="黑体" w:hAnsi="黑体" w:eastAsia="黑体"/>
              </w:rPr>
              <w:t>耐久性性能试验方法</w:t>
            </w:r>
          </w:p>
          <w:p w14:paraId="0FF75E09">
            <w:pPr>
              <w:pStyle w:val="72"/>
              <w:ind w:firstLine="0" w:firstLineChars="0"/>
              <w:rPr>
                <w:rFonts w:hint="eastAsia" w:ascii="黑体" w:hAnsi="黑体" w:eastAsia="黑体"/>
              </w:rPr>
            </w:pPr>
            <w:r>
              <w:drawing>
                <wp:inline distT="0" distB="0" distL="114300" distR="114300">
                  <wp:extent cx="3101340" cy="2072640"/>
                  <wp:effectExtent l="0" t="0" r="3810" b="3810"/>
                  <wp:docPr id="5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77"/>
                          <pic:cNvPicPr>
                            <a:picLocks noChangeAspect="1"/>
                          </pic:cNvPicPr>
                        </pic:nvPicPr>
                        <pic:blipFill>
                          <a:blip r:embed="rId34"/>
                          <a:stretch>
                            <a:fillRect/>
                          </a:stretch>
                        </pic:blipFill>
                        <pic:spPr>
                          <a:xfrm>
                            <a:off x="0" y="0"/>
                            <a:ext cx="3101340" cy="2072640"/>
                          </a:xfrm>
                          <a:prstGeom prst="rect">
                            <a:avLst/>
                          </a:prstGeom>
                          <a:noFill/>
                          <a:ln>
                            <a:noFill/>
                          </a:ln>
                        </pic:spPr>
                      </pic:pic>
                    </a:graphicData>
                  </a:graphic>
                </wp:inline>
              </w:drawing>
            </w:r>
          </w:p>
        </w:tc>
        <w:tc>
          <w:tcPr>
            <w:tcW w:w="5126" w:type="dxa"/>
          </w:tcPr>
          <w:p w14:paraId="1FDF31D9">
            <w:pPr>
              <w:pStyle w:val="73"/>
              <w:numPr>
                <w:ilvl w:val="2"/>
                <w:numId w:val="0"/>
              </w:numPr>
            </w:pPr>
            <w:r>
              <w:rPr>
                <w:rFonts w:hint="eastAsia" w:cs="黑体"/>
              </w:rPr>
              <w:t>7.5耐久性</w:t>
            </w:r>
          </w:p>
          <w:p w14:paraId="50881C9C">
            <w:pPr>
              <w:pStyle w:val="72"/>
              <w:ind w:firstLine="420"/>
              <w:rPr>
                <w:rFonts w:cs="Times New Roman"/>
                <w:bdr w:val="single" w:color="auto" w:sz="2" w:space="0"/>
              </w:rPr>
            </w:pPr>
            <w:r>
              <w:rPr>
                <w:rFonts w:hint="eastAsia"/>
                <w:bdr w:val="single" w:color="auto" w:sz="2" w:space="0"/>
              </w:rPr>
              <w:t>产品的耐久性性能应按表</w:t>
            </w:r>
            <w:r>
              <w:rPr>
                <w:bdr w:val="single" w:color="auto" w:sz="2" w:space="0"/>
              </w:rPr>
              <w:t>10</w:t>
            </w:r>
            <w:r>
              <w:rPr>
                <w:rFonts w:hint="eastAsia"/>
                <w:bdr w:val="single" w:color="auto" w:sz="2" w:space="0"/>
              </w:rPr>
              <w:t>的规定进行。</w:t>
            </w:r>
          </w:p>
          <w:p w14:paraId="10BE7127">
            <w:pPr>
              <w:pStyle w:val="72"/>
              <w:ind w:firstLine="420"/>
              <w:rPr>
                <w:rFonts w:hint="eastAsia" w:ascii="黑体" w:hAnsi="黑体" w:eastAsia="黑体"/>
                <w:bdr w:val="single" w:color="auto" w:sz="2" w:space="0"/>
              </w:rPr>
            </w:pPr>
            <w:r>
              <w:rPr>
                <w:rFonts w:hint="eastAsia" w:ascii="黑体" w:hAnsi="黑体" w:eastAsia="黑体"/>
                <w:bdr w:val="single" w:color="auto" w:sz="2" w:space="0"/>
              </w:rPr>
              <w:t>表</w:t>
            </w:r>
            <w:r>
              <w:rPr>
                <w:rFonts w:ascii="黑体" w:hAnsi="黑体" w:eastAsia="黑体"/>
                <w:bdr w:val="single" w:color="auto" w:sz="2" w:space="0"/>
              </w:rPr>
              <w:t>10</w:t>
            </w:r>
            <w:r>
              <w:rPr>
                <w:rFonts w:hint="eastAsia" w:ascii="黑体" w:hAnsi="黑体" w:eastAsia="黑体"/>
                <w:bdr w:val="single" w:color="auto" w:sz="2" w:space="0"/>
              </w:rPr>
              <w:t>耐久性性能试验方法</w:t>
            </w:r>
          </w:p>
          <w:p w14:paraId="7507AEE5">
            <w:pPr>
              <w:pStyle w:val="72"/>
              <w:ind w:firstLine="0" w:firstLineChars="0"/>
              <w:rPr>
                <w:rFonts w:hint="eastAsia" w:ascii="黑体" w:hAnsi="黑体" w:eastAsia="黑体"/>
              </w:rPr>
            </w:pPr>
            <w:r>
              <w:drawing>
                <wp:inline distT="0" distB="0" distL="114300" distR="114300">
                  <wp:extent cx="3101340" cy="2072640"/>
                  <wp:effectExtent l="9525" t="9525" r="13335" b="13335"/>
                  <wp:docPr id="58"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7"/>
                          <pic:cNvPicPr>
                            <a:picLocks noChangeAspect="1"/>
                          </pic:cNvPicPr>
                        </pic:nvPicPr>
                        <pic:blipFill>
                          <a:blip r:embed="rId34"/>
                          <a:stretch>
                            <a:fillRect/>
                          </a:stretch>
                        </pic:blipFill>
                        <pic:spPr>
                          <a:xfrm>
                            <a:off x="0" y="0"/>
                            <a:ext cx="3101340" cy="2072640"/>
                          </a:xfrm>
                          <a:prstGeom prst="rect">
                            <a:avLst/>
                          </a:prstGeom>
                          <a:noFill/>
                          <a:ln>
                            <a:solidFill>
                              <a:schemeClr val="tx1"/>
                            </a:solidFill>
                          </a:ln>
                        </pic:spPr>
                      </pic:pic>
                    </a:graphicData>
                  </a:graphic>
                </wp:inline>
              </w:drawing>
            </w:r>
          </w:p>
        </w:tc>
      </w:tr>
      <w:tr w14:paraId="709361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60491106">
            <w:pPr>
              <w:pStyle w:val="72"/>
              <w:ind w:firstLine="0" w:firstLineChars="0"/>
            </w:pPr>
          </w:p>
        </w:tc>
        <w:tc>
          <w:tcPr>
            <w:tcW w:w="5126" w:type="dxa"/>
          </w:tcPr>
          <w:p w14:paraId="6E1F0AEA">
            <w:pPr>
              <w:pStyle w:val="74"/>
              <w:numPr>
                <w:ilvl w:val="3"/>
                <w:numId w:val="0"/>
              </w:numPr>
              <w:rPr>
                <w:rFonts w:hint="eastAsia" w:ascii="黑体" w:hAnsi="黑体"/>
                <w:u w:val="single"/>
              </w:rPr>
            </w:pPr>
            <w:r>
              <w:rPr>
                <w:rFonts w:hint="eastAsia" w:ascii="黑体" w:hAnsi="黑体"/>
                <w:u w:val="single"/>
              </w:rPr>
              <w:t>7.5.1老化性能</w:t>
            </w:r>
          </w:p>
          <w:p w14:paraId="37F296E3">
            <w:pPr>
              <w:pStyle w:val="72"/>
              <w:ind w:firstLine="420"/>
              <w:rPr>
                <w:u w:val="single"/>
              </w:rPr>
            </w:pPr>
            <w:r>
              <w:rPr>
                <w:rFonts w:hint="eastAsia"/>
                <w:u w:val="single"/>
              </w:rPr>
              <w:t>先测定被试支座的竖向刚度、水平等效刚度、等效阻尼比；再将支座置于80℃恒温箱内962h或100℃的恒温箱内185h (或相当于20℃×60年的等效温度和等效时间）后取出，冷却至自然室温，再重新测定支座的竖向刚度、水平等效刚度、等效阻尼比及水平极限变形能力。比较该支座老化前后的刚度和阻尼性能，并与未老化同型(批）的支座进行水平极限变形能力变形能力的比较。</w:t>
            </w:r>
          </w:p>
        </w:tc>
      </w:tr>
      <w:tr w14:paraId="02F2F1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6106A578">
            <w:pPr>
              <w:pStyle w:val="72"/>
              <w:ind w:firstLine="0" w:firstLineChars="0"/>
            </w:pPr>
          </w:p>
        </w:tc>
        <w:tc>
          <w:tcPr>
            <w:tcW w:w="5126" w:type="dxa"/>
          </w:tcPr>
          <w:p w14:paraId="5706E8E6">
            <w:pPr>
              <w:pStyle w:val="74"/>
              <w:numPr>
                <w:ilvl w:val="3"/>
                <w:numId w:val="0"/>
              </w:numPr>
              <w:rPr>
                <w:rFonts w:hint="eastAsia" w:ascii="黑体" w:hAnsi="黑体"/>
                <w:u w:val="single"/>
              </w:rPr>
            </w:pPr>
            <w:r>
              <w:rPr>
                <w:rFonts w:hint="eastAsia" w:ascii="黑体" w:hAnsi="黑体"/>
                <w:u w:val="single"/>
              </w:rPr>
              <w:t>7.5.2徐变性能</w:t>
            </w:r>
          </w:p>
          <w:p w14:paraId="3F21A682">
            <w:pPr>
              <w:autoSpaceDE w:val="0"/>
              <w:autoSpaceDN w:val="0"/>
              <w:adjustRightInd w:val="0"/>
              <w:ind w:left="840" w:hanging="840" w:hangingChars="400"/>
              <w:jc w:val="left"/>
              <w:rPr>
                <w:rFonts w:ascii="宋体" w:cs="宋体"/>
                <w:kern w:val="0"/>
                <w:u w:val="single"/>
              </w:rPr>
            </w:pPr>
            <w:r>
              <w:rPr>
                <w:rFonts w:hint="eastAsia" w:ascii="宋体" w:cs="宋体"/>
                <w:kern w:val="0"/>
                <w:u w:val="single"/>
              </w:rPr>
              <w:t>方法一：使被试支座在产品的设计压应力作用下，置于80℃恒温箱内962h或100℃的恒温箱内185h（或相当于20℃×60年的等效温度和等效时间）后，取出测其徐变量；</w:t>
            </w:r>
          </w:p>
          <w:p w14:paraId="08FD92BC">
            <w:pPr>
              <w:pStyle w:val="72"/>
              <w:ind w:firstLine="0" w:firstLineChars="0"/>
              <w:rPr>
                <w:u w:val="single"/>
              </w:rPr>
            </w:pPr>
            <w:r>
              <w:rPr>
                <w:rFonts w:hint="eastAsia"/>
                <w:u w:val="single"/>
              </w:rPr>
              <w:t>方法二：按GB/T 20688.1中规定的试验方法</w:t>
            </w:r>
          </w:p>
        </w:tc>
      </w:tr>
      <w:tr w14:paraId="76D7E6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3D15F60F">
            <w:pPr>
              <w:pStyle w:val="72"/>
              <w:ind w:firstLine="0" w:firstLineChars="0"/>
            </w:pPr>
          </w:p>
        </w:tc>
        <w:tc>
          <w:tcPr>
            <w:tcW w:w="5126" w:type="dxa"/>
          </w:tcPr>
          <w:p w14:paraId="0E8D66BC">
            <w:pPr>
              <w:pStyle w:val="74"/>
              <w:numPr>
                <w:ilvl w:val="3"/>
                <w:numId w:val="0"/>
              </w:numPr>
              <w:rPr>
                <w:rFonts w:hint="eastAsia" w:ascii="黑体" w:hAnsi="黑体"/>
                <w:u w:val="single"/>
              </w:rPr>
            </w:pPr>
            <w:r>
              <w:rPr>
                <w:rFonts w:hint="eastAsia" w:ascii="黑体" w:hAnsi="黑体"/>
                <w:u w:val="single"/>
              </w:rPr>
              <w:t>7.5.3疲劳性能</w:t>
            </w:r>
          </w:p>
          <w:p w14:paraId="61AAF723">
            <w:pPr>
              <w:autoSpaceDE w:val="0"/>
              <w:autoSpaceDN w:val="0"/>
              <w:adjustRightInd w:val="0"/>
              <w:ind w:firstLine="420" w:firstLineChars="200"/>
              <w:jc w:val="left"/>
              <w:rPr>
                <w:rFonts w:ascii="宋体" w:cs="宋体"/>
                <w:kern w:val="0"/>
                <w:u w:val="single"/>
              </w:rPr>
            </w:pPr>
            <w:r>
              <w:rPr>
                <w:rFonts w:hint="eastAsia" w:ascii="宋体" w:cs="宋体"/>
                <w:kern w:val="0"/>
                <w:u w:val="single"/>
              </w:rPr>
              <w:t>试验时先测被试支座的竖向刚度、</w:t>
            </w:r>
            <w:r>
              <w:rPr>
                <w:rFonts w:ascii="宋体" w:cs="宋体"/>
                <w:kern w:val="0"/>
                <w:u w:val="single"/>
              </w:rPr>
              <w:t>水平</w:t>
            </w:r>
            <w:r>
              <w:rPr>
                <w:rFonts w:hint="eastAsia" w:ascii="宋体" w:cs="宋体"/>
                <w:kern w:val="0"/>
                <w:u w:val="single"/>
              </w:rPr>
              <w:t>等效</w:t>
            </w:r>
            <w:r>
              <w:rPr>
                <w:rFonts w:ascii="宋体" w:cs="宋体"/>
                <w:kern w:val="0"/>
                <w:u w:val="single"/>
              </w:rPr>
              <w:t>刚度、等效阻尼比</w:t>
            </w:r>
            <w:r>
              <w:rPr>
                <w:rFonts w:hint="eastAsia" w:ascii="宋体" w:cs="宋体"/>
                <w:kern w:val="0"/>
                <w:u w:val="single"/>
              </w:rPr>
              <w:t>；在设计压应力状态下，按剪应变γ=100%，加载频率不低于0.02Hz连续施加水平荷载</w:t>
            </w:r>
            <w:r>
              <w:rPr>
                <w:rFonts w:ascii="宋体" w:cs="宋体"/>
                <w:kern w:val="0"/>
                <w:u w:val="single"/>
              </w:rPr>
              <w:t>5</w:t>
            </w:r>
            <w:r>
              <w:rPr>
                <w:rFonts w:hint="eastAsia" w:ascii="宋体" w:cs="宋体"/>
                <w:kern w:val="0"/>
                <w:u w:val="single"/>
              </w:rPr>
              <w:t>0次，同时记录每次水平加载力与水平位移的滞回曲线，并仔细观察试验过程中试件有无龟裂、钢板与橡胶是否撕裂或出现其他异常现象。</w:t>
            </w:r>
          </w:p>
        </w:tc>
      </w:tr>
      <w:tr w14:paraId="1D3392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53B01FAB">
            <w:pPr>
              <w:pStyle w:val="73"/>
              <w:numPr>
                <w:ilvl w:val="2"/>
                <w:numId w:val="0"/>
              </w:numPr>
            </w:pPr>
            <w:r>
              <w:rPr>
                <w:rFonts w:hint="eastAsia" w:cs="黑体"/>
              </w:rPr>
              <w:t>7.6相关性能</w:t>
            </w:r>
          </w:p>
          <w:p w14:paraId="26BBB9F7">
            <w:pPr>
              <w:pStyle w:val="72"/>
              <w:ind w:firstLine="420"/>
              <w:rPr>
                <w:rFonts w:cs="Times New Roman"/>
              </w:rPr>
            </w:pPr>
            <w:r>
              <w:rPr>
                <w:rFonts w:hint="eastAsia"/>
              </w:rPr>
              <w:t>建筑隔震橡胶支座的相关性能试验应符合表</w:t>
            </w:r>
            <w:r>
              <w:t>11</w:t>
            </w:r>
            <w:r>
              <w:rPr>
                <w:rFonts w:hint="eastAsia"/>
              </w:rPr>
              <w:t>的规定。</w:t>
            </w:r>
          </w:p>
          <w:p w14:paraId="0ADA0037">
            <w:pPr>
              <w:jc w:val="center"/>
              <w:rPr>
                <w:rFonts w:hint="eastAsia" w:ascii="黑体" w:hAnsi="黑体" w:eastAsia="黑体"/>
              </w:rPr>
            </w:pPr>
            <w:r>
              <w:rPr>
                <w:rFonts w:hint="eastAsia" w:ascii="黑体" w:hAnsi="黑体" w:eastAsia="黑体"/>
              </w:rPr>
              <w:t>表</w:t>
            </w:r>
            <w:r>
              <w:rPr>
                <w:rFonts w:ascii="黑体" w:hAnsi="黑体" w:eastAsia="黑体"/>
              </w:rPr>
              <w:t>11</w:t>
            </w:r>
            <w:r>
              <w:rPr>
                <w:rFonts w:hint="eastAsia" w:ascii="黑体" w:hAnsi="黑体" w:eastAsia="黑体"/>
              </w:rPr>
              <w:t xml:space="preserve"> 相关性能试验方法</w:t>
            </w:r>
          </w:p>
          <w:p w14:paraId="6846FC65">
            <w:pPr>
              <w:pStyle w:val="72"/>
              <w:ind w:firstLine="0" w:firstLineChars="0"/>
            </w:pPr>
            <w:r>
              <w:drawing>
                <wp:inline distT="0" distB="0" distL="114300" distR="114300">
                  <wp:extent cx="3104515" cy="1694815"/>
                  <wp:effectExtent l="0" t="0" r="635" b="635"/>
                  <wp:docPr id="59"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8"/>
                          <pic:cNvPicPr>
                            <a:picLocks noChangeAspect="1"/>
                          </pic:cNvPicPr>
                        </pic:nvPicPr>
                        <pic:blipFill>
                          <a:blip r:embed="rId35"/>
                          <a:stretch>
                            <a:fillRect/>
                          </a:stretch>
                        </pic:blipFill>
                        <pic:spPr>
                          <a:xfrm>
                            <a:off x="0" y="0"/>
                            <a:ext cx="3104515" cy="1694815"/>
                          </a:xfrm>
                          <a:prstGeom prst="rect">
                            <a:avLst/>
                          </a:prstGeom>
                          <a:noFill/>
                          <a:ln>
                            <a:noFill/>
                          </a:ln>
                        </pic:spPr>
                      </pic:pic>
                    </a:graphicData>
                  </a:graphic>
                </wp:inline>
              </w:drawing>
            </w:r>
          </w:p>
        </w:tc>
        <w:tc>
          <w:tcPr>
            <w:tcW w:w="5126" w:type="dxa"/>
          </w:tcPr>
          <w:p w14:paraId="064D944C">
            <w:pPr>
              <w:pStyle w:val="73"/>
              <w:numPr>
                <w:ilvl w:val="2"/>
                <w:numId w:val="0"/>
              </w:numPr>
              <w:rPr>
                <w:bdr w:val="single" w:color="auto" w:sz="2" w:space="0"/>
              </w:rPr>
            </w:pPr>
            <w:r>
              <w:rPr>
                <w:rFonts w:hint="eastAsia" w:cs="黑体"/>
                <w:bdr w:val="single" w:color="auto" w:sz="2" w:space="0"/>
              </w:rPr>
              <w:t>7.6相关性能</w:t>
            </w:r>
          </w:p>
          <w:p w14:paraId="693EE6C6">
            <w:pPr>
              <w:pStyle w:val="72"/>
              <w:ind w:firstLine="420"/>
              <w:rPr>
                <w:rFonts w:cs="Times New Roman"/>
                <w:bdr w:val="single" w:color="auto" w:sz="2" w:space="0"/>
              </w:rPr>
            </w:pPr>
            <w:r>
              <w:rPr>
                <w:rFonts w:hint="eastAsia"/>
                <w:bdr w:val="single" w:color="auto" w:sz="2" w:space="0"/>
              </w:rPr>
              <w:t>建筑隔震橡胶支座的相关性能试验应符合表</w:t>
            </w:r>
            <w:r>
              <w:rPr>
                <w:bdr w:val="single" w:color="auto" w:sz="2" w:space="0"/>
              </w:rPr>
              <w:t>11</w:t>
            </w:r>
            <w:r>
              <w:rPr>
                <w:rFonts w:hint="eastAsia"/>
                <w:bdr w:val="single" w:color="auto" w:sz="2" w:space="0"/>
              </w:rPr>
              <w:t>的规定。</w:t>
            </w:r>
          </w:p>
          <w:p w14:paraId="2D28187E">
            <w:pPr>
              <w:jc w:val="center"/>
              <w:rPr>
                <w:rFonts w:hint="eastAsia" w:ascii="黑体" w:hAnsi="黑体" w:eastAsia="黑体"/>
                <w:bdr w:val="single" w:color="auto" w:sz="2" w:space="0"/>
              </w:rPr>
            </w:pPr>
            <w:r>
              <w:rPr>
                <w:rFonts w:hint="eastAsia" w:ascii="黑体" w:hAnsi="黑体" w:eastAsia="黑体"/>
                <w:bdr w:val="single" w:color="auto" w:sz="2" w:space="0"/>
              </w:rPr>
              <w:t>表</w:t>
            </w:r>
            <w:r>
              <w:rPr>
                <w:rFonts w:ascii="黑体" w:hAnsi="黑体" w:eastAsia="黑体"/>
                <w:bdr w:val="single" w:color="auto" w:sz="2" w:space="0"/>
              </w:rPr>
              <w:t>11</w:t>
            </w:r>
            <w:r>
              <w:rPr>
                <w:rFonts w:hint="eastAsia" w:ascii="黑体" w:hAnsi="黑体" w:eastAsia="黑体"/>
                <w:bdr w:val="single" w:color="auto" w:sz="2" w:space="0"/>
              </w:rPr>
              <w:t xml:space="preserve"> 相关性能试验方法</w:t>
            </w:r>
          </w:p>
          <w:p w14:paraId="76405616">
            <w:pPr>
              <w:autoSpaceDE w:val="0"/>
              <w:autoSpaceDN w:val="0"/>
              <w:adjustRightInd w:val="0"/>
              <w:jc w:val="left"/>
              <w:rPr>
                <w:rFonts w:ascii="宋体" w:cs="宋体"/>
                <w:kern w:val="0"/>
              </w:rPr>
            </w:pPr>
            <w:r>
              <w:drawing>
                <wp:inline distT="0" distB="0" distL="114300" distR="114300">
                  <wp:extent cx="3111500" cy="1698625"/>
                  <wp:effectExtent l="0" t="0" r="12700" b="15875"/>
                  <wp:docPr id="60"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9"/>
                          <pic:cNvPicPr>
                            <a:picLocks noChangeAspect="1"/>
                          </pic:cNvPicPr>
                        </pic:nvPicPr>
                        <pic:blipFill>
                          <a:blip r:embed="rId35"/>
                          <a:stretch>
                            <a:fillRect/>
                          </a:stretch>
                        </pic:blipFill>
                        <pic:spPr>
                          <a:xfrm>
                            <a:off x="0" y="0"/>
                            <a:ext cx="3111500" cy="1698625"/>
                          </a:xfrm>
                          <a:prstGeom prst="rect">
                            <a:avLst/>
                          </a:prstGeom>
                          <a:noFill/>
                          <a:ln>
                            <a:solidFill>
                              <a:schemeClr val="tx1"/>
                            </a:solidFill>
                          </a:ln>
                        </pic:spPr>
                      </pic:pic>
                    </a:graphicData>
                  </a:graphic>
                </wp:inline>
              </w:drawing>
            </w:r>
          </w:p>
        </w:tc>
      </w:tr>
      <w:tr w14:paraId="304150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5E8E4338">
            <w:pPr>
              <w:pStyle w:val="72"/>
              <w:ind w:firstLine="0" w:firstLineChars="0"/>
            </w:pPr>
          </w:p>
        </w:tc>
        <w:tc>
          <w:tcPr>
            <w:tcW w:w="5126" w:type="dxa"/>
          </w:tcPr>
          <w:p w14:paraId="12B5B5C8">
            <w:pPr>
              <w:pStyle w:val="74"/>
              <w:numPr>
                <w:ilvl w:val="3"/>
                <w:numId w:val="0"/>
              </w:numPr>
              <w:rPr>
                <w:rFonts w:hint="eastAsia" w:ascii="黑体" w:hAnsi="黑体"/>
                <w:u w:val="single"/>
              </w:rPr>
            </w:pPr>
            <w:r>
              <w:rPr>
                <w:rFonts w:hint="eastAsia" w:ascii="黑体" w:hAnsi="黑体"/>
                <w:u w:val="single"/>
              </w:rPr>
              <w:t>7.6.1竖向应力相关性能</w:t>
            </w:r>
          </w:p>
          <w:p w14:paraId="600B657D">
            <w:pPr>
              <w:autoSpaceDE w:val="0"/>
              <w:autoSpaceDN w:val="0"/>
              <w:adjustRightInd w:val="0"/>
              <w:ind w:firstLine="420" w:firstLineChars="200"/>
              <w:jc w:val="left"/>
              <w:rPr>
                <w:u w:val="single"/>
              </w:rPr>
            </w:pPr>
            <w:r>
              <w:rPr>
                <w:kern w:val="0"/>
                <w:u w:val="single"/>
              </w:rPr>
              <w:t>按表7中的要求，测定被试支座分别在轴向压应力5、10、15MPa作用下，剪切变形γ=100%时的水平等效刚度、等效阻尼比，并计算与轴压力10MPa时的相应比值。</w:t>
            </w:r>
          </w:p>
        </w:tc>
      </w:tr>
      <w:tr w14:paraId="22724D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54AF25B8">
            <w:pPr>
              <w:pStyle w:val="72"/>
              <w:ind w:firstLine="0" w:firstLineChars="0"/>
            </w:pPr>
          </w:p>
        </w:tc>
        <w:tc>
          <w:tcPr>
            <w:tcW w:w="5126" w:type="dxa"/>
          </w:tcPr>
          <w:p w14:paraId="5E46F895">
            <w:pPr>
              <w:pStyle w:val="74"/>
              <w:numPr>
                <w:ilvl w:val="3"/>
                <w:numId w:val="0"/>
              </w:numPr>
              <w:rPr>
                <w:u w:val="single"/>
              </w:rPr>
            </w:pPr>
            <w:r>
              <w:rPr>
                <w:rFonts w:hint="eastAsia"/>
                <w:u w:val="single"/>
              </w:rPr>
              <w:t>7.6.2</w:t>
            </w:r>
            <w:r>
              <w:rPr>
                <w:u w:val="single"/>
              </w:rPr>
              <w:t>大变形相关性能</w:t>
            </w:r>
          </w:p>
          <w:p w14:paraId="63BB45D1">
            <w:pPr>
              <w:autoSpaceDE w:val="0"/>
              <w:autoSpaceDN w:val="0"/>
              <w:adjustRightInd w:val="0"/>
              <w:ind w:firstLine="420" w:firstLineChars="200"/>
              <w:jc w:val="left"/>
              <w:rPr>
                <w:kern w:val="0"/>
                <w:u w:val="single"/>
              </w:rPr>
            </w:pPr>
            <w:r>
              <w:rPr>
                <w:kern w:val="0"/>
                <w:u w:val="single"/>
              </w:rPr>
              <w:t>先按表7中的要求，测定被试支座在设计压应力作用下，剪切变形γ=100%时的水平等效刚度、等效阻尼比，再做剪切变形γ=250%试验8次后，重新测定被试支座在设计轴向压应力作用下，剪切变形γ=100%时的水平等效刚度、等效阻尼比，并计算相应比值。</w:t>
            </w:r>
          </w:p>
        </w:tc>
      </w:tr>
      <w:tr w14:paraId="15A4DD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1601C0D0">
            <w:pPr>
              <w:pStyle w:val="72"/>
              <w:ind w:firstLine="0" w:firstLineChars="0"/>
            </w:pPr>
          </w:p>
        </w:tc>
        <w:tc>
          <w:tcPr>
            <w:tcW w:w="5126" w:type="dxa"/>
          </w:tcPr>
          <w:p w14:paraId="5C4EB909">
            <w:pPr>
              <w:pStyle w:val="74"/>
              <w:numPr>
                <w:ilvl w:val="3"/>
                <w:numId w:val="0"/>
              </w:numPr>
              <w:rPr>
                <w:u w:val="single"/>
              </w:rPr>
            </w:pPr>
            <w:r>
              <w:rPr>
                <w:rFonts w:hint="eastAsia"/>
                <w:u w:val="single"/>
              </w:rPr>
              <w:t>7.6.3</w:t>
            </w:r>
            <w:r>
              <w:rPr>
                <w:u w:val="single"/>
              </w:rPr>
              <w:t>加载频率相关性能</w:t>
            </w:r>
          </w:p>
          <w:p w14:paraId="531D876E">
            <w:pPr>
              <w:pStyle w:val="72"/>
              <w:ind w:firstLine="420"/>
              <w:rPr>
                <w:rFonts w:ascii="Times New Roman" w:cs="Times New Roman"/>
                <w:u w:val="single"/>
              </w:rPr>
            </w:pPr>
            <w:r>
              <w:rPr>
                <w:rFonts w:ascii="Times New Roman" w:cs="Times New Roman"/>
                <w:u w:val="single"/>
              </w:rPr>
              <w:t>按表7中的要求，测定被试支座在设计压应力作用下，剪切变形γ=100%时，加载频率/分别为0.02,0.05,0.1,0.</w:t>
            </w:r>
            <w:r>
              <w:rPr>
                <w:rFonts w:hint="eastAsia" w:ascii="Times New Roman" w:cs="Times New Roman"/>
                <w:u w:val="single"/>
              </w:rPr>
              <w:t>2,0.3</w:t>
            </w:r>
            <w:r>
              <w:rPr>
                <w:rFonts w:ascii="Times New Roman" w:cs="Times New Roman"/>
                <w:u w:val="single"/>
              </w:rPr>
              <w:t>Hz时的水平等效刚度、等效阻尼比，并计算与f = 0.</w:t>
            </w:r>
            <w:r>
              <w:rPr>
                <w:rFonts w:hint="eastAsia" w:ascii="Times New Roman" w:cs="Times New Roman"/>
                <w:u w:val="single"/>
              </w:rPr>
              <w:t>3</w:t>
            </w:r>
            <w:r>
              <w:rPr>
                <w:rFonts w:ascii="Times New Roman" w:cs="Times New Roman"/>
                <w:u w:val="single"/>
              </w:rPr>
              <w:t>Hz时的相应比值</w:t>
            </w:r>
            <w:r>
              <w:rPr>
                <w:rFonts w:hint="eastAsia" w:ascii="Times New Roman" w:cs="Times New Roman"/>
                <w:u w:val="single"/>
              </w:rPr>
              <w:t>。</w:t>
            </w:r>
          </w:p>
          <w:p w14:paraId="2EE155C9">
            <w:pPr>
              <w:autoSpaceDE w:val="0"/>
              <w:autoSpaceDN w:val="0"/>
              <w:adjustRightInd w:val="0"/>
              <w:jc w:val="left"/>
              <w:rPr>
                <w:kern w:val="0"/>
                <w:u w:val="single"/>
              </w:rPr>
            </w:pPr>
          </w:p>
        </w:tc>
      </w:tr>
      <w:tr w14:paraId="46591F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70C518E7">
            <w:pPr>
              <w:pStyle w:val="72"/>
              <w:ind w:firstLine="0" w:firstLineChars="0"/>
            </w:pPr>
          </w:p>
        </w:tc>
        <w:tc>
          <w:tcPr>
            <w:tcW w:w="5126" w:type="dxa"/>
          </w:tcPr>
          <w:p w14:paraId="545939CC">
            <w:pPr>
              <w:pStyle w:val="74"/>
              <w:numPr>
                <w:ilvl w:val="3"/>
                <w:numId w:val="0"/>
              </w:numPr>
              <w:rPr>
                <w:u w:val="single"/>
              </w:rPr>
            </w:pPr>
            <w:r>
              <w:rPr>
                <w:rFonts w:hint="eastAsia"/>
                <w:u w:val="single"/>
              </w:rPr>
              <w:t>7.6.4</w:t>
            </w:r>
            <w:r>
              <w:rPr>
                <w:u w:val="single"/>
              </w:rPr>
              <w:t>温度相关性能</w:t>
            </w:r>
          </w:p>
          <w:p w14:paraId="7E0B25E4">
            <w:pPr>
              <w:pStyle w:val="72"/>
              <w:ind w:firstLine="420"/>
              <w:rPr>
                <w:rFonts w:ascii="Times New Roman" w:cs="Times New Roman"/>
                <w:u w:val="single"/>
              </w:rPr>
            </w:pPr>
            <w:r>
              <w:rPr>
                <w:rFonts w:ascii="Times New Roman" w:cs="Times New Roman"/>
                <w:u w:val="single"/>
              </w:rPr>
              <w:t>按表7中的要求，测定被试支座在设计压应力作用下，剪切变形γ=100%，</w:t>
            </w:r>
            <w:r>
              <w:rPr>
                <w:rFonts w:hint="eastAsia" w:ascii="Times New Roman" w:cs="Times New Roman"/>
                <w:u w:val="single"/>
              </w:rPr>
              <w:t xml:space="preserve"> </w:t>
            </w:r>
            <w:r>
              <w:rPr>
                <w:rFonts w:ascii="Times New Roman" w:cs="Times New Roman"/>
                <w:u w:val="single"/>
              </w:rPr>
              <w:t>温度T分别为﹣20℃，</w:t>
            </w:r>
            <w:r>
              <w:rPr>
                <w:rFonts w:hint="eastAsia" w:ascii="Times New Roman" w:cs="Times New Roman"/>
                <w:u w:val="single"/>
              </w:rPr>
              <w:t xml:space="preserve">    </w:t>
            </w:r>
            <w:r>
              <w:rPr>
                <w:rFonts w:ascii="Times New Roman" w:cs="Times New Roman"/>
                <w:u w:val="single"/>
              </w:rPr>
              <w:t>﹣10℃，0℃，2</w:t>
            </w:r>
            <w:r>
              <w:rPr>
                <w:rFonts w:hint="eastAsia" w:ascii="Times New Roman" w:cs="Times New Roman"/>
                <w:u w:val="single"/>
              </w:rPr>
              <w:t>3</w:t>
            </w:r>
            <w:r>
              <w:rPr>
                <w:rFonts w:ascii="Times New Roman" w:cs="Times New Roman"/>
                <w:u w:val="single"/>
              </w:rPr>
              <w:t>℃，40℃时的水平等效刚度、等效阻尼比，并计算与T=23℃时的相应比值。</w:t>
            </w:r>
          </w:p>
          <w:p w14:paraId="0CB9936B">
            <w:pPr>
              <w:autoSpaceDE w:val="0"/>
              <w:autoSpaceDN w:val="0"/>
              <w:adjustRightInd w:val="0"/>
              <w:jc w:val="left"/>
              <w:rPr>
                <w:kern w:val="0"/>
                <w:u w:val="single"/>
              </w:rPr>
            </w:pPr>
          </w:p>
        </w:tc>
      </w:tr>
      <w:tr w14:paraId="7C6329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641865BA">
            <w:pPr>
              <w:pStyle w:val="72"/>
              <w:ind w:firstLine="0" w:firstLineChars="0"/>
              <w:jc w:val="center"/>
            </w:pPr>
            <w:r>
              <w:rPr>
                <w:rFonts w:hint="eastAsia" w:ascii="Times New Roman" w:eastAsia="黑体" w:cs="Times New Roman"/>
                <w:b/>
                <w:sz w:val="24"/>
                <w:szCs w:val="28"/>
              </w:rPr>
              <w:t>8 检验规则</w:t>
            </w:r>
          </w:p>
        </w:tc>
        <w:tc>
          <w:tcPr>
            <w:tcW w:w="5126" w:type="dxa"/>
            <w:vAlign w:val="center"/>
          </w:tcPr>
          <w:p w14:paraId="17038071">
            <w:pPr>
              <w:autoSpaceDE w:val="0"/>
              <w:autoSpaceDN w:val="0"/>
              <w:adjustRightInd w:val="0"/>
              <w:jc w:val="center"/>
              <w:rPr>
                <w:kern w:val="0"/>
              </w:rPr>
            </w:pPr>
            <w:r>
              <w:rPr>
                <w:rFonts w:hint="eastAsia" w:eastAsia="黑体"/>
                <w:b/>
                <w:kern w:val="0"/>
                <w:sz w:val="24"/>
                <w:szCs w:val="28"/>
              </w:rPr>
              <w:t>8 检验规则</w:t>
            </w:r>
          </w:p>
        </w:tc>
      </w:tr>
      <w:tr w14:paraId="06BE32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03473A2D">
            <w:pPr>
              <w:pStyle w:val="73"/>
              <w:numPr>
                <w:ilvl w:val="2"/>
                <w:numId w:val="0"/>
              </w:numPr>
            </w:pPr>
            <w:r>
              <w:rPr>
                <w:rFonts w:hint="eastAsia" w:cs="黑体"/>
              </w:rPr>
              <w:t>8.1检验分类</w:t>
            </w:r>
          </w:p>
          <w:p w14:paraId="5E8F7356">
            <w:pPr>
              <w:pStyle w:val="72"/>
              <w:ind w:firstLine="0" w:firstLineChars="0"/>
            </w:pPr>
          </w:p>
        </w:tc>
        <w:tc>
          <w:tcPr>
            <w:tcW w:w="5126" w:type="dxa"/>
          </w:tcPr>
          <w:p w14:paraId="4048A3C7">
            <w:pPr>
              <w:pStyle w:val="73"/>
              <w:numPr>
                <w:ilvl w:val="2"/>
                <w:numId w:val="0"/>
              </w:numPr>
            </w:pPr>
            <w:r>
              <w:rPr>
                <w:rFonts w:hint="eastAsia" w:cs="黑体"/>
              </w:rPr>
              <w:t>8.1检验分类</w:t>
            </w:r>
          </w:p>
          <w:p w14:paraId="3DBFEB99">
            <w:pPr>
              <w:pStyle w:val="72"/>
              <w:ind w:firstLine="420"/>
            </w:pPr>
            <w:r>
              <w:rPr>
                <w:rFonts w:hint="eastAsia"/>
                <w:u w:val="single"/>
              </w:rPr>
              <w:t>检验分型式检验和出厂检验两类。</w:t>
            </w:r>
          </w:p>
        </w:tc>
      </w:tr>
      <w:tr w14:paraId="3092EC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tcPr>
          <w:p w14:paraId="49A0BA37">
            <w:pPr>
              <w:ind w:firstLine="420" w:firstLineChars="200"/>
            </w:pPr>
            <w:r>
              <w:rPr>
                <w:rFonts w:hint="eastAsia"/>
              </w:rPr>
              <w:t>8.1.1 建筑隔震橡胶支座应进行出厂检验和型式检验。</w:t>
            </w:r>
            <w:r>
              <w:rPr>
                <w:rFonts w:hint="eastAsia" w:cs="宋体" w:asciiTheme="minorHAnsi" w:hAnsiTheme="minorHAnsi"/>
                <w:szCs w:val="22"/>
              </w:rPr>
              <w:t>型式检验</w:t>
            </w:r>
            <w:r>
              <w:rPr>
                <w:rFonts w:cs="宋体" w:asciiTheme="minorHAnsi" w:hAnsiTheme="minorHAnsi"/>
                <w:szCs w:val="22"/>
              </w:rPr>
              <w:t>合格后方可进行生产</w:t>
            </w:r>
            <w:r>
              <w:rPr>
                <w:rFonts w:hint="eastAsia"/>
              </w:rPr>
              <w:t>。</w:t>
            </w:r>
          </w:p>
          <w:p w14:paraId="3614A22E">
            <w:pPr>
              <w:pStyle w:val="72"/>
              <w:ind w:firstLine="0" w:firstLineChars="0"/>
            </w:pPr>
          </w:p>
        </w:tc>
        <w:tc>
          <w:tcPr>
            <w:tcW w:w="5126" w:type="dxa"/>
          </w:tcPr>
          <w:p w14:paraId="509E7C27">
            <w:pPr>
              <w:ind w:firstLine="420" w:firstLineChars="200"/>
              <w:rPr>
                <w:u w:val="single"/>
              </w:rPr>
            </w:pPr>
            <w:r>
              <w:rPr>
                <w:rFonts w:hint="eastAsia"/>
              </w:rPr>
              <w:t xml:space="preserve">8.1.1 </w:t>
            </w:r>
            <w:r>
              <w:rPr>
                <w:rFonts w:hint="eastAsia" w:asciiTheme="minorEastAsia" w:hAnsiTheme="minorEastAsia" w:eastAsiaTheme="minorEastAsia" w:cstheme="minorEastAsia"/>
                <w:u w:val="single"/>
              </w:rPr>
              <w:t>型式检验</w:t>
            </w:r>
          </w:p>
          <w:p w14:paraId="6B0DBBE8">
            <w:pPr>
              <w:ind w:firstLine="420" w:firstLineChars="200"/>
            </w:pPr>
            <w:r>
              <w:rPr>
                <w:rFonts w:hint="eastAsia"/>
                <w:bdr w:val="single" w:color="auto" w:sz="4" w:space="0"/>
              </w:rPr>
              <w:t>建筑隔震橡胶支座应进行出厂检验和型式检验。</w:t>
            </w:r>
            <w:r>
              <w:rPr>
                <w:rFonts w:hint="eastAsia" w:asciiTheme="minorEastAsia" w:hAnsiTheme="minorEastAsia" w:eastAsiaTheme="minorEastAsia" w:cstheme="minorEastAsia"/>
                <w:szCs w:val="22"/>
                <w:u w:val="single"/>
              </w:rPr>
              <w:t>制造厂生产的工程用隔震橡胶支座应满足型式检验的要求，</w:t>
            </w:r>
            <w:r>
              <w:rPr>
                <w:rFonts w:hint="eastAsia" w:cs="宋体" w:asciiTheme="minorHAnsi" w:hAnsiTheme="minorHAnsi"/>
                <w:szCs w:val="22"/>
              </w:rPr>
              <w:t>型式检验</w:t>
            </w:r>
            <w:r>
              <w:rPr>
                <w:rFonts w:cs="宋体" w:asciiTheme="minorHAnsi" w:hAnsiTheme="minorHAnsi"/>
                <w:szCs w:val="22"/>
              </w:rPr>
              <w:t>合格后方可进行</w:t>
            </w:r>
            <w:r>
              <w:rPr>
                <w:rFonts w:hint="eastAsia" w:asciiTheme="minorEastAsia" w:hAnsiTheme="minorEastAsia" w:eastAsiaTheme="minorEastAsia" w:cstheme="minorEastAsia"/>
                <w:szCs w:val="22"/>
                <w:u w:val="single"/>
              </w:rPr>
              <w:t>隔震橡胶支座的</w:t>
            </w:r>
            <w:r>
              <w:rPr>
                <w:rFonts w:cs="宋体" w:asciiTheme="minorHAnsi" w:hAnsiTheme="minorHAnsi"/>
                <w:szCs w:val="22"/>
              </w:rPr>
              <w:t>生产</w:t>
            </w:r>
            <w:r>
              <w:rPr>
                <w:rFonts w:hint="eastAsia"/>
              </w:rPr>
              <w:t>。</w:t>
            </w:r>
          </w:p>
          <w:p w14:paraId="08EEA806">
            <w:pPr>
              <w:pStyle w:val="72"/>
              <w:ind w:firstLine="420"/>
              <w:rPr>
                <w:u w:val="single"/>
              </w:rPr>
            </w:pPr>
            <w:r>
              <w:rPr>
                <w:rFonts w:hint="eastAsia" w:asciiTheme="minorEastAsia" w:hAnsiTheme="minorEastAsia" w:eastAsiaTheme="minorEastAsia" w:cstheme="minorEastAsia"/>
                <w:u w:val="single"/>
              </w:rPr>
              <w:t>隔震橡胶支座产品有下列情况之一时，应进行型式检验：</w:t>
            </w:r>
          </w:p>
          <w:p w14:paraId="46B0A1A8">
            <w:pPr>
              <w:pStyle w:val="72"/>
              <w:ind w:firstLine="420"/>
              <w:rPr>
                <w:u w:val="single"/>
              </w:rPr>
            </w:pPr>
            <w:r>
              <w:rPr>
                <w:rFonts w:hint="eastAsia"/>
                <w:u w:val="single"/>
              </w:rPr>
              <w:t>a）新产品的试制、定型、鉴定；</w:t>
            </w:r>
          </w:p>
          <w:p w14:paraId="01367BB5">
            <w:pPr>
              <w:pStyle w:val="72"/>
              <w:ind w:firstLine="420"/>
              <w:rPr>
                <w:u w:val="single"/>
              </w:rPr>
            </w:pPr>
            <w:r>
              <w:rPr>
                <w:rFonts w:hint="eastAsia"/>
                <w:u w:val="single"/>
              </w:rPr>
              <w:t xml:space="preserve">b）当原料、结构、工艺等有较大改变，有可能对产品质量影响较大时； </w:t>
            </w:r>
          </w:p>
          <w:p w14:paraId="223481C8">
            <w:pPr>
              <w:pStyle w:val="72"/>
              <w:ind w:firstLine="420"/>
              <w:rPr>
                <w:u w:val="single"/>
              </w:rPr>
            </w:pPr>
            <w:r>
              <w:rPr>
                <w:rFonts w:hint="eastAsia"/>
                <w:u w:val="single"/>
              </w:rPr>
              <w:t xml:space="preserve">c）正常生产时，每6年检验一次； </w:t>
            </w:r>
          </w:p>
          <w:p w14:paraId="5363A3E2">
            <w:pPr>
              <w:autoSpaceDE w:val="0"/>
              <w:autoSpaceDN w:val="0"/>
              <w:adjustRightInd w:val="0"/>
              <w:ind w:firstLine="420" w:firstLineChars="200"/>
              <w:jc w:val="left"/>
              <w:rPr>
                <w:kern w:val="0"/>
              </w:rPr>
            </w:pPr>
            <w:r>
              <w:rPr>
                <w:rFonts w:hint="eastAsia"/>
                <w:u w:val="single"/>
              </w:rPr>
              <w:t>d）制造厂停产一年以上恢复生产时。</w:t>
            </w:r>
          </w:p>
        </w:tc>
      </w:tr>
      <w:tr w14:paraId="17328D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tcPr>
          <w:p w14:paraId="0F8239BA">
            <w:pPr>
              <w:ind w:firstLine="420" w:firstLineChars="200"/>
            </w:pPr>
            <w:r>
              <w:rPr>
                <w:rFonts w:hint="eastAsia"/>
              </w:rPr>
              <w:t>8.1.2每个隔震橡胶支座均应进行出厂检验，出厂检验应由制造厂质检部门或独立的第三方检测机构检验，检验合格方准出厂。</w:t>
            </w:r>
          </w:p>
          <w:p w14:paraId="11ED3FCF">
            <w:pPr>
              <w:pStyle w:val="72"/>
              <w:ind w:firstLine="0" w:firstLineChars="0"/>
            </w:pPr>
          </w:p>
        </w:tc>
        <w:tc>
          <w:tcPr>
            <w:tcW w:w="5126" w:type="dxa"/>
          </w:tcPr>
          <w:p w14:paraId="55B59442">
            <w:pPr>
              <w:ind w:firstLine="420" w:firstLineChars="200"/>
            </w:pPr>
            <w:r>
              <w:rPr>
                <w:rFonts w:hint="eastAsia"/>
              </w:rPr>
              <w:t xml:space="preserve">8.1.2 </w:t>
            </w:r>
            <w:r>
              <w:rPr>
                <w:rFonts w:hint="eastAsia"/>
                <w:u w:val="single"/>
              </w:rPr>
              <w:t>出厂检验</w:t>
            </w:r>
          </w:p>
          <w:p w14:paraId="32057A53">
            <w:pPr>
              <w:ind w:firstLine="420" w:firstLineChars="200"/>
              <w:rPr>
                <w:kern w:val="0"/>
              </w:rPr>
            </w:pPr>
            <w:r>
              <w:rPr>
                <w:rFonts w:hint="eastAsia"/>
              </w:rPr>
              <w:t>每个隔震橡胶支座</w:t>
            </w:r>
            <w:r>
              <w:rPr>
                <w:rFonts w:hint="eastAsia"/>
                <w:bdr w:val="single" w:color="auto" w:sz="4" w:space="0"/>
              </w:rPr>
              <w:t>均</w:t>
            </w:r>
            <w:r>
              <w:rPr>
                <w:rFonts w:hint="eastAsia"/>
              </w:rPr>
              <w:t>应进行</w:t>
            </w:r>
            <w:r>
              <w:rPr>
                <w:rFonts w:hint="eastAsia"/>
                <w:u w:val="single"/>
              </w:rPr>
              <w:t>产品质量的</w:t>
            </w:r>
            <w:r>
              <w:rPr>
                <w:rFonts w:hint="eastAsia"/>
              </w:rPr>
              <w:t>出厂检验，出厂检验</w:t>
            </w:r>
            <w:r>
              <w:rPr>
                <w:rFonts w:hint="eastAsia"/>
                <w:bdr w:val="single" w:color="auto" w:sz="4" w:space="0"/>
              </w:rPr>
              <w:t>应</w:t>
            </w:r>
            <w:r>
              <w:rPr>
                <w:rFonts w:hint="eastAsia"/>
              </w:rPr>
              <w:t>由</w:t>
            </w:r>
            <w:r>
              <w:rPr>
                <w:rFonts w:hint="eastAsia"/>
                <w:bdr w:val="single" w:color="auto" w:sz="4" w:space="0"/>
              </w:rPr>
              <w:t>制造</w:t>
            </w:r>
            <w:r>
              <w:rPr>
                <w:rFonts w:hint="eastAsia"/>
                <w:u w:val="single"/>
              </w:rPr>
              <w:t>生产</w:t>
            </w:r>
            <w:r>
              <w:rPr>
                <w:rFonts w:hint="eastAsia"/>
              </w:rPr>
              <w:t>厂</w:t>
            </w:r>
            <w:r>
              <w:rPr>
                <w:rFonts w:hint="eastAsia"/>
                <w:bdr w:val="single" w:color="auto" w:sz="4" w:space="0"/>
              </w:rPr>
              <w:t>质检部门或独立的第三方检测机构检验</w:t>
            </w:r>
            <w:r>
              <w:rPr>
                <w:rFonts w:hint="eastAsia" w:asciiTheme="minorEastAsia" w:hAnsiTheme="minorEastAsia" w:eastAsiaTheme="minorEastAsia" w:cstheme="minorEastAsia"/>
                <w:u w:val="single"/>
              </w:rPr>
              <w:t>负责进行</w:t>
            </w:r>
            <w:r>
              <w:rPr>
                <w:rFonts w:hint="eastAsia" w:asciiTheme="minorEastAsia" w:hAnsiTheme="minorEastAsia" w:eastAsiaTheme="minorEastAsia" w:cstheme="minorEastAsia"/>
              </w:rPr>
              <w:t>，</w:t>
            </w:r>
            <w:r>
              <w:rPr>
                <w:rFonts w:hint="eastAsia"/>
              </w:rPr>
              <w:t>检验合格</w:t>
            </w:r>
            <w:r>
              <w:rPr>
                <w:rFonts w:hint="eastAsia" w:asciiTheme="minorEastAsia" w:hAnsiTheme="minorEastAsia" w:eastAsiaTheme="minorEastAsia" w:cstheme="minorEastAsia"/>
                <w:u w:val="single"/>
              </w:rPr>
              <w:t>并附合格证书，</w:t>
            </w:r>
            <w:r>
              <w:rPr>
                <w:rFonts w:hint="eastAsia"/>
              </w:rPr>
              <w:t>方准出厂。</w:t>
            </w:r>
          </w:p>
        </w:tc>
      </w:tr>
      <w:tr w14:paraId="2A8EE6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096C69E9">
            <w:pPr>
              <w:ind w:firstLine="420" w:firstLineChars="200"/>
            </w:pPr>
            <w:r>
              <w:rPr>
                <w:rFonts w:hint="eastAsia"/>
              </w:rPr>
              <w:t>8.1.3隔震橡胶支座产品有下列情况之一时，应进行型式检验：</w:t>
            </w:r>
          </w:p>
          <w:p w14:paraId="1F27B868">
            <w:pPr>
              <w:pStyle w:val="72"/>
              <w:ind w:firstLine="420"/>
            </w:pPr>
            <w:r>
              <w:rPr>
                <w:rFonts w:hint="eastAsia"/>
              </w:rPr>
              <w:t>a）新产品的试制、定型、鉴定；</w:t>
            </w:r>
          </w:p>
          <w:p w14:paraId="51DA406D">
            <w:pPr>
              <w:pStyle w:val="72"/>
              <w:ind w:firstLine="420"/>
            </w:pPr>
            <w:r>
              <w:rPr>
                <w:rFonts w:hint="eastAsia"/>
              </w:rPr>
              <w:t xml:space="preserve">b）当原料、结构、工艺等有较大改变，有可能对产品质量影响较大时； </w:t>
            </w:r>
          </w:p>
          <w:p w14:paraId="3CE67CD9">
            <w:pPr>
              <w:pStyle w:val="72"/>
              <w:ind w:firstLine="420"/>
            </w:pPr>
            <w:r>
              <w:rPr>
                <w:rFonts w:hint="eastAsia"/>
              </w:rPr>
              <w:t xml:space="preserve">c）正常生产时，每4年检验一次； </w:t>
            </w:r>
          </w:p>
          <w:p w14:paraId="71507635">
            <w:pPr>
              <w:pStyle w:val="72"/>
              <w:ind w:firstLine="420"/>
            </w:pPr>
            <w:r>
              <w:rPr>
                <w:rFonts w:hint="eastAsia"/>
              </w:rPr>
              <w:t>d）停产一年以上恢复生产时。</w:t>
            </w:r>
          </w:p>
          <w:p w14:paraId="36D3C63E">
            <w:pPr>
              <w:pStyle w:val="72"/>
              <w:ind w:firstLine="0" w:firstLineChars="0"/>
            </w:pPr>
          </w:p>
        </w:tc>
        <w:tc>
          <w:tcPr>
            <w:tcW w:w="5126" w:type="dxa"/>
          </w:tcPr>
          <w:p w14:paraId="7568FD14">
            <w:pPr>
              <w:ind w:firstLine="420" w:firstLineChars="200"/>
              <w:rPr>
                <w:bdr w:val="single" w:color="auto" w:sz="2" w:space="0"/>
              </w:rPr>
            </w:pPr>
            <w:r>
              <w:rPr>
                <w:rFonts w:hint="eastAsia"/>
                <w:bdr w:val="single" w:color="auto" w:sz="2" w:space="0"/>
              </w:rPr>
              <w:t>8.1.3隔震橡胶支座产品有下列情况之一时，应进行型式检验：</w:t>
            </w:r>
          </w:p>
          <w:p w14:paraId="57C1F02F">
            <w:pPr>
              <w:pStyle w:val="72"/>
              <w:ind w:firstLine="420"/>
              <w:rPr>
                <w:bdr w:val="single" w:color="auto" w:sz="2" w:space="0"/>
              </w:rPr>
            </w:pPr>
            <w:r>
              <w:rPr>
                <w:rFonts w:hint="eastAsia"/>
                <w:bdr w:val="single" w:color="auto" w:sz="2" w:space="0"/>
              </w:rPr>
              <w:t>a）新产品的试制、定型、鉴定；</w:t>
            </w:r>
          </w:p>
          <w:p w14:paraId="46282818">
            <w:pPr>
              <w:pStyle w:val="72"/>
              <w:ind w:firstLine="420"/>
              <w:rPr>
                <w:bdr w:val="single" w:color="auto" w:sz="2" w:space="0"/>
              </w:rPr>
            </w:pPr>
            <w:r>
              <w:rPr>
                <w:rFonts w:hint="eastAsia"/>
                <w:bdr w:val="single" w:color="auto" w:sz="2" w:space="0"/>
              </w:rPr>
              <w:t xml:space="preserve">b）当原料、结构、工艺等有较大改变，有可能对产品质量影响较大时； </w:t>
            </w:r>
          </w:p>
          <w:p w14:paraId="0D970593">
            <w:pPr>
              <w:pStyle w:val="72"/>
              <w:ind w:firstLine="420"/>
              <w:rPr>
                <w:bdr w:val="single" w:color="auto" w:sz="2" w:space="0"/>
              </w:rPr>
            </w:pPr>
            <w:r>
              <w:rPr>
                <w:rFonts w:hint="eastAsia"/>
                <w:bdr w:val="single" w:color="auto" w:sz="2" w:space="0"/>
              </w:rPr>
              <w:t xml:space="preserve">c）正常生产时，每4年检验一次； </w:t>
            </w:r>
          </w:p>
          <w:p w14:paraId="75BD9E9B">
            <w:pPr>
              <w:pStyle w:val="72"/>
              <w:ind w:firstLine="420"/>
              <w:rPr>
                <w:bdr w:val="single" w:color="auto" w:sz="2" w:space="0"/>
              </w:rPr>
            </w:pPr>
            <w:r>
              <w:rPr>
                <w:rFonts w:hint="eastAsia"/>
                <w:bdr w:val="single" w:color="auto" w:sz="2" w:space="0"/>
              </w:rPr>
              <w:t>d）停产一年以上恢复生产时。</w:t>
            </w:r>
          </w:p>
          <w:p w14:paraId="067AA815">
            <w:pPr>
              <w:autoSpaceDE w:val="0"/>
              <w:autoSpaceDN w:val="0"/>
              <w:adjustRightInd w:val="0"/>
              <w:jc w:val="left"/>
              <w:rPr>
                <w:kern w:val="0"/>
              </w:rPr>
            </w:pPr>
          </w:p>
        </w:tc>
      </w:tr>
      <w:tr w14:paraId="477600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472211B0">
            <w:pPr>
              <w:pStyle w:val="74"/>
              <w:numPr>
                <w:ilvl w:val="3"/>
                <w:numId w:val="0"/>
              </w:numPr>
              <w:rPr>
                <w:rFonts w:hint="eastAsia" w:asciiTheme="majorEastAsia" w:hAnsiTheme="majorEastAsia" w:eastAsiaTheme="majorEastAsia"/>
              </w:rPr>
            </w:pPr>
            <w:r>
              <w:rPr>
                <w:rFonts w:hint="eastAsia"/>
              </w:rPr>
              <w:t>8.2.2外观质量</w:t>
            </w:r>
          </w:p>
          <w:p w14:paraId="010D5AA4">
            <w:pPr>
              <w:ind w:firstLine="420" w:firstLineChars="200"/>
            </w:pPr>
            <w:r>
              <w:rPr>
                <w:rFonts w:hint="eastAsia"/>
              </w:rPr>
              <w:t>出厂</w:t>
            </w:r>
            <w:r>
              <w:t>检验</w:t>
            </w:r>
            <w:r>
              <w:rPr>
                <w:rFonts w:hint="eastAsia"/>
              </w:rPr>
              <w:t>和型式</w:t>
            </w:r>
            <w:r>
              <w:t>检验</w:t>
            </w:r>
            <w:r>
              <w:rPr>
                <w:rFonts w:hint="eastAsia"/>
              </w:rPr>
              <w:t>均</w:t>
            </w:r>
            <w:r>
              <w:t>应</w:t>
            </w:r>
            <w:r>
              <w:rPr>
                <w:rFonts w:hint="eastAsia"/>
              </w:rPr>
              <w:t>进行支座</w:t>
            </w:r>
            <w:r>
              <w:t>外观质量检验，</w:t>
            </w:r>
            <w:r>
              <w:rPr>
                <w:rFonts w:hint="eastAsia"/>
              </w:rPr>
              <w:t>外观质量检验按表</w:t>
            </w:r>
            <w:r>
              <w:t>3</w:t>
            </w:r>
            <w:r>
              <w:rPr>
                <w:rFonts w:hint="eastAsia"/>
              </w:rPr>
              <w:t>要求，按</w:t>
            </w:r>
            <w:r>
              <w:t>7.2</w:t>
            </w:r>
            <w:r>
              <w:rPr>
                <w:rFonts w:hint="eastAsia"/>
              </w:rPr>
              <w:t>规定进行。</w:t>
            </w:r>
          </w:p>
        </w:tc>
        <w:tc>
          <w:tcPr>
            <w:tcW w:w="5126" w:type="dxa"/>
          </w:tcPr>
          <w:p w14:paraId="785B06EA">
            <w:pPr>
              <w:pStyle w:val="74"/>
              <w:numPr>
                <w:ilvl w:val="3"/>
                <w:numId w:val="0"/>
              </w:numPr>
              <w:rPr>
                <w:rFonts w:hint="eastAsia" w:asciiTheme="majorEastAsia" w:hAnsiTheme="majorEastAsia" w:eastAsiaTheme="majorEastAsia"/>
              </w:rPr>
            </w:pPr>
            <w:r>
              <w:rPr>
                <w:rFonts w:hint="eastAsia"/>
              </w:rPr>
              <w:t>8.2.2外观质量</w:t>
            </w:r>
          </w:p>
          <w:p w14:paraId="572527D5">
            <w:pPr>
              <w:ind w:firstLine="420" w:firstLineChars="200"/>
              <w:rPr>
                <w:kern w:val="0"/>
              </w:rPr>
            </w:pPr>
            <w:r>
              <w:rPr>
                <w:rFonts w:hint="eastAsia"/>
              </w:rPr>
              <w:t>出厂</w:t>
            </w:r>
            <w:r>
              <w:t>检验</w:t>
            </w:r>
            <w:r>
              <w:rPr>
                <w:rFonts w:hint="eastAsia"/>
              </w:rPr>
              <w:t>和型式</w:t>
            </w:r>
            <w:r>
              <w:t>检验</w:t>
            </w:r>
            <w:r>
              <w:rPr>
                <w:rFonts w:hint="eastAsia"/>
              </w:rPr>
              <w:t>均</w:t>
            </w:r>
            <w:r>
              <w:t>应</w:t>
            </w:r>
            <w:r>
              <w:rPr>
                <w:rFonts w:hint="eastAsia"/>
              </w:rPr>
              <w:t>进行支座</w:t>
            </w:r>
            <w:r>
              <w:t>外观质量检验，</w:t>
            </w:r>
            <w:r>
              <w:rPr>
                <w:rFonts w:hint="eastAsia"/>
              </w:rPr>
              <w:t>外观质量检验按表</w:t>
            </w:r>
            <w:r>
              <w:rPr>
                <w:bdr w:val="single" w:color="auto" w:sz="2" w:space="0"/>
              </w:rPr>
              <w:t>3</w:t>
            </w:r>
            <w:r>
              <w:rPr>
                <w:rFonts w:hint="eastAsia"/>
                <w:u w:val="single"/>
              </w:rPr>
              <w:t>4</w:t>
            </w:r>
            <w:r>
              <w:rPr>
                <w:rFonts w:hint="eastAsia"/>
              </w:rPr>
              <w:t>要求，按</w:t>
            </w:r>
            <w:r>
              <w:t>7.2</w:t>
            </w:r>
            <w:r>
              <w:rPr>
                <w:rFonts w:hint="eastAsia"/>
              </w:rPr>
              <w:t>规定进行。</w:t>
            </w:r>
          </w:p>
        </w:tc>
      </w:tr>
      <w:tr w14:paraId="6ED8B7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14F48A58">
            <w:pPr>
              <w:pStyle w:val="74"/>
              <w:numPr>
                <w:ilvl w:val="3"/>
                <w:numId w:val="0"/>
              </w:numPr>
              <w:rPr>
                <w:rFonts w:hint="eastAsia" w:ascii="黑体" w:hAnsi="黑体"/>
              </w:rPr>
            </w:pPr>
            <w:r>
              <w:rPr>
                <w:rFonts w:hint="eastAsia" w:ascii="黑体" w:hAnsi="黑体"/>
              </w:rPr>
              <w:t>8.2.3尺寸</w:t>
            </w:r>
            <w:r>
              <w:rPr>
                <w:rFonts w:ascii="黑体" w:hAnsi="黑体"/>
              </w:rPr>
              <w:t>偏差</w:t>
            </w:r>
          </w:p>
          <w:p w14:paraId="046C0573">
            <w:pPr>
              <w:ind w:firstLine="420" w:firstLineChars="200"/>
            </w:pPr>
            <w:r>
              <w:t>出厂检验应进行支座</w:t>
            </w:r>
            <w:r>
              <w:rPr>
                <w:rFonts w:hint="eastAsia"/>
              </w:rPr>
              <w:t>尺寸</w:t>
            </w:r>
            <w:r>
              <w:t>偏差外部项目的检验。</w:t>
            </w:r>
            <w:r>
              <w:rPr>
                <w:rFonts w:hint="eastAsia"/>
              </w:rPr>
              <w:t>支座的尺寸偏差</w:t>
            </w:r>
            <w:r>
              <w:t>检验</w:t>
            </w:r>
            <w:r>
              <w:rPr>
                <w:rFonts w:hint="eastAsia"/>
              </w:rPr>
              <w:t>按表</w:t>
            </w:r>
            <w:r>
              <w:t>4</w:t>
            </w:r>
            <w:r>
              <w:rPr>
                <w:rFonts w:hint="eastAsia"/>
              </w:rPr>
              <w:t>要求，按</w:t>
            </w:r>
            <w:r>
              <w:t>7.3</w:t>
            </w:r>
            <w:r>
              <w:rPr>
                <w:rFonts w:hint="eastAsia"/>
              </w:rPr>
              <w:t>规定进行。型式</w:t>
            </w:r>
            <w:r>
              <w:t>检验应进行支座</w:t>
            </w:r>
            <w:r>
              <w:rPr>
                <w:rFonts w:hint="eastAsia"/>
              </w:rPr>
              <w:t>尺寸</w:t>
            </w:r>
            <w:r>
              <w:t>偏差内部和外部项目的检验</w:t>
            </w:r>
            <w:r>
              <w:rPr>
                <w:rFonts w:hint="eastAsia"/>
              </w:rPr>
              <w:t>。</w:t>
            </w:r>
          </w:p>
          <w:p w14:paraId="3F19B816">
            <w:pPr>
              <w:ind w:firstLine="420" w:firstLineChars="200"/>
            </w:pPr>
          </w:p>
        </w:tc>
        <w:tc>
          <w:tcPr>
            <w:tcW w:w="5126" w:type="dxa"/>
          </w:tcPr>
          <w:p w14:paraId="58B7FD61">
            <w:pPr>
              <w:pStyle w:val="74"/>
              <w:numPr>
                <w:ilvl w:val="3"/>
                <w:numId w:val="0"/>
              </w:numPr>
              <w:rPr>
                <w:rFonts w:hint="eastAsia" w:ascii="黑体" w:hAnsi="黑体"/>
              </w:rPr>
            </w:pPr>
            <w:r>
              <w:rPr>
                <w:rFonts w:hint="eastAsia" w:ascii="黑体" w:hAnsi="黑体"/>
              </w:rPr>
              <w:t>8.2.3尺寸</w:t>
            </w:r>
            <w:r>
              <w:rPr>
                <w:rFonts w:ascii="黑体" w:hAnsi="黑体"/>
              </w:rPr>
              <w:t>偏差</w:t>
            </w:r>
          </w:p>
          <w:p w14:paraId="258066D4">
            <w:pPr>
              <w:ind w:firstLine="420" w:firstLineChars="200"/>
            </w:pPr>
            <w:r>
              <w:t>出厂检验应进行支座</w:t>
            </w:r>
            <w:r>
              <w:rPr>
                <w:rFonts w:hint="eastAsia"/>
              </w:rPr>
              <w:t>尺寸</w:t>
            </w:r>
            <w:r>
              <w:t>偏差外部项目的检验</w:t>
            </w:r>
            <w:r>
              <w:rPr>
                <w:rFonts w:hint="eastAsia"/>
                <w:bdr w:val="single" w:color="auto" w:sz="2" w:space="0"/>
              </w:rPr>
              <w:t>。</w:t>
            </w:r>
            <w:r>
              <w:rPr>
                <w:rFonts w:hint="eastAsia"/>
              </w:rPr>
              <w:t>，</w:t>
            </w:r>
            <w:r>
              <w:rPr>
                <w:rFonts w:hint="eastAsia"/>
                <w:u w:val="single"/>
              </w:rPr>
              <w:t>型式</w:t>
            </w:r>
            <w:r>
              <w:rPr>
                <w:u w:val="single"/>
              </w:rPr>
              <w:t>检验应进行支座</w:t>
            </w:r>
            <w:r>
              <w:rPr>
                <w:rFonts w:hint="eastAsia"/>
                <w:u w:val="single"/>
              </w:rPr>
              <w:t>尺寸</w:t>
            </w:r>
            <w:r>
              <w:rPr>
                <w:u w:val="single"/>
              </w:rPr>
              <w:t>偏差内部和外部项目的检验</w:t>
            </w:r>
            <w:r>
              <w:rPr>
                <w:rFonts w:hint="eastAsia"/>
              </w:rPr>
              <w:t>。支座的尺寸偏差</w:t>
            </w:r>
            <w:r>
              <w:t>检验</w:t>
            </w:r>
            <w:r>
              <w:rPr>
                <w:rFonts w:hint="eastAsia"/>
              </w:rPr>
              <w:t>按表</w:t>
            </w:r>
            <w:r>
              <w:rPr>
                <w:bdr w:val="single" w:color="auto" w:sz="4" w:space="0"/>
              </w:rPr>
              <w:t>4</w:t>
            </w:r>
            <w:r>
              <w:rPr>
                <w:rFonts w:hint="eastAsia"/>
                <w:u w:val="single"/>
              </w:rPr>
              <w:t>5</w:t>
            </w:r>
            <w:r>
              <w:rPr>
                <w:rFonts w:hint="eastAsia"/>
              </w:rPr>
              <w:t>要求，按</w:t>
            </w:r>
            <w:r>
              <w:t>7.3</w:t>
            </w:r>
            <w:r>
              <w:rPr>
                <w:rFonts w:hint="eastAsia"/>
              </w:rPr>
              <w:t>规定进行。</w:t>
            </w:r>
            <w:r>
              <w:rPr>
                <w:rFonts w:hint="eastAsia"/>
                <w:bdr w:val="single" w:color="auto" w:sz="4" w:space="0"/>
              </w:rPr>
              <w:t>型式</w:t>
            </w:r>
            <w:r>
              <w:rPr>
                <w:bdr w:val="single" w:color="auto" w:sz="4" w:space="0"/>
              </w:rPr>
              <w:t>检验应进行支座</w:t>
            </w:r>
            <w:r>
              <w:rPr>
                <w:rFonts w:hint="eastAsia"/>
                <w:bdr w:val="single" w:color="auto" w:sz="4" w:space="0"/>
              </w:rPr>
              <w:t>尺寸</w:t>
            </w:r>
            <w:r>
              <w:rPr>
                <w:bdr w:val="single" w:color="auto" w:sz="4" w:space="0"/>
              </w:rPr>
              <w:t>偏差内部和外部项目的检验</w:t>
            </w:r>
            <w:r>
              <w:rPr>
                <w:rFonts w:hint="eastAsia"/>
                <w:bdr w:val="single" w:color="auto" w:sz="4" w:space="0"/>
              </w:rPr>
              <w:t>。</w:t>
            </w:r>
          </w:p>
          <w:p w14:paraId="49F59EC5">
            <w:pPr>
              <w:ind w:firstLine="420" w:firstLineChars="200"/>
            </w:pPr>
          </w:p>
        </w:tc>
      </w:tr>
      <w:tr w14:paraId="0423CB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0B063062">
            <w:pPr>
              <w:pStyle w:val="74"/>
              <w:numPr>
                <w:ilvl w:val="3"/>
                <w:numId w:val="0"/>
              </w:numPr>
              <w:rPr>
                <w:rFonts w:hint="eastAsia" w:ascii="黑体" w:hAnsi="黑体"/>
              </w:rPr>
            </w:pPr>
            <w:r>
              <w:rPr>
                <w:rFonts w:hint="eastAsia" w:ascii="黑体" w:hAnsi="黑体"/>
              </w:rPr>
              <w:t>8.2.4支座竖向</w:t>
            </w:r>
            <w:r>
              <w:rPr>
                <w:rFonts w:ascii="黑体" w:hAnsi="黑体"/>
              </w:rPr>
              <w:t>和水平</w:t>
            </w:r>
            <w:r>
              <w:rPr>
                <w:rFonts w:hint="eastAsia" w:ascii="黑体" w:hAnsi="黑体"/>
              </w:rPr>
              <w:t>力学性能</w:t>
            </w:r>
          </w:p>
          <w:p w14:paraId="077ACDD6">
            <w:pPr>
              <w:pStyle w:val="72"/>
              <w:ind w:firstLine="420"/>
              <w:rPr>
                <w:rFonts w:cs="Times New Roman"/>
              </w:rPr>
            </w:pPr>
            <w:r>
              <w:rPr>
                <w:rFonts w:hint="eastAsia"/>
              </w:rPr>
              <w:t>支座力学竖向</w:t>
            </w:r>
            <w:r>
              <w:t>和</w:t>
            </w:r>
            <w:r>
              <w:rPr>
                <w:rFonts w:hint="eastAsia"/>
              </w:rPr>
              <w:t>性能检验项目见表</w:t>
            </w:r>
            <w:r>
              <w:t>13</w:t>
            </w:r>
            <w:r>
              <w:rPr>
                <w:rFonts w:hint="eastAsia"/>
              </w:rPr>
              <w:t>。</w:t>
            </w:r>
          </w:p>
          <w:p w14:paraId="0D3740FE">
            <w:pPr>
              <w:pStyle w:val="72"/>
              <w:ind w:firstLine="420"/>
              <w:jc w:val="center"/>
              <w:rPr>
                <w:rFonts w:hint="eastAsia" w:ascii="黑体" w:hAnsi="黑体" w:eastAsia="黑体" w:cs="黑体"/>
              </w:rPr>
            </w:pPr>
            <w:r>
              <w:rPr>
                <w:rFonts w:hint="eastAsia" w:ascii="黑体" w:hAnsi="黑体" w:eastAsia="黑体" w:cs="黑体"/>
              </w:rPr>
              <w:t>表</w:t>
            </w:r>
            <w:r>
              <w:rPr>
                <w:rFonts w:ascii="黑体" w:hAnsi="黑体" w:eastAsia="黑体" w:cs="黑体"/>
              </w:rPr>
              <w:t xml:space="preserve">13 </w:t>
            </w:r>
            <w:r>
              <w:rPr>
                <w:rFonts w:hint="eastAsia" w:ascii="黑体" w:hAnsi="黑体" w:eastAsia="黑体" w:cs="黑体"/>
              </w:rPr>
              <w:t>支座竖向</w:t>
            </w:r>
            <w:r>
              <w:rPr>
                <w:rFonts w:ascii="黑体" w:hAnsi="黑体" w:eastAsia="黑体" w:cs="黑体"/>
              </w:rPr>
              <w:t>和水平</w:t>
            </w:r>
            <w:r>
              <w:rPr>
                <w:rFonts w:hint="eastAsia" w:ascii="黑体" w:hAnsi="黑体" w:eastAsia="黑体" w:cs="黑体"/>
              </w:rPr>
              <w:t>力学性能检验项目</w:t>
            </w:r>
          </w:p>
          <w:p w14:paraId="1BC5173C">
            <w:r>
              <w:drawing>
                <wp:inline distT="0" distB="0" distL="114300" distR="114300">
                  <wp:extent cx="3104515" cy="4171315"/>
                  <wp:effectExtent l="0" t="0" r="635" b="635"/>
                  <wp:docPr id="62"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81"/>
                          <pic:cNvPicPr>
                            <a:picLocks noChangeAspect="1"/>
                          </pic:cNvPicPr>
                        </pic:nvPicPr>
                        <pic:blipFill>
                          <a:blip r:embed="rId36"/>
                          <a:stretch>
                            <a:fillRect/>
                          </a:stretch>
                        </pic:blipFill>
                        <pic:spPr>
                          <a:xfrm>
                            <a:off x="0" y="0"/>
                            <a:ext cx="3104515" cy="4171315"/>
                          </a:xfrm>
                          <a:prstGeom prst="rect">
                            <a:avLst/>
                          </a:prstGeom>
                          <a:noFill/>
                          <a:ln>
                            <a:noFill/>
                          </a:ln>
                        </pic:spPr>
                      </pic:pic>
                    </a:graphicData>
                  </a:graphic>
                </wp:inline>
              </w:drawing>
            </w:r>
          </w:p>
        </w:tc>
        <w:tc>
          <w:tcPr>
            <w:tcW w:w="5126" w:type="dxa"/>
          </w:tcPr>
          <w:p w14:paraId="73190CCB">
            <w:pPr>
              <w:pStyle w:val="74"/>
              <w:numPr>
                <w:ilvl w:val="3"/>
                <w:numId w:val="0"/>
              </w:numPr>
              <w:rPr>
                <w:rFonts w:hint="eastAsia" w:ascii="黑体" w:hAnsi="黑体"/>
              </w:rPr>
            </w:pPr>
            <w:r>
              <w:rPr>
                <w:rFonts w:hint="eastAsia" w:ascii="黑体" w:hAnsi="黑体"/>
              </w:rPr>
              <w:t>8.2.4支座竖向</w:t>
            </w:r>
            <w:r>
              <w:rPr>
                <w:rFonts w:ascii="黑体" w:hAnsi="黑体"/>
              </w:rPr>
              <w:t>和水平</w:t>
            </w:r>
            <w:r>
              <w:rPr>
                <w:rFonts w:hint="eastAsia" w:ascii="黑体" w:hAnsi="黑体"/>
              </w:rPr>
              <w:t>力学性能</w:t>
            </w:r>
          </w:p>
          <w:p w14:paraId="230CCA33">
            <w:pPr>
              <w:pStyle w:val="72"/>
              <w:ind w:firstLine="420"/>
              <w:rPr>
                <w:rFonts w:cs="Times New Roman"/>
              </w:rPr>
            </w:pPr>
            <w:r>
              <w:rPr>
                <w:rFonts w:hint="eastAsia"/>
              </w:rPr>
              <w:t>支座力学竖向</w:t>
            </w:r>
            <w:r>
              <w:t>和</w:t>
            </w:r>
            <w:r>
              <w:rPr>
                <w:rFonts w:hint="eastAsia"/>
              </w:rPr>
              <w:t>性能检验项目见表</w:t>
            </w:r>
            <w:r>
              <w:t>13</w:t>
            </w:r>
            <w:r>
              <w:rPr>
                <w:rFonts w:hint="eastAsia"/>
              </w:rPr>
              <w:t>。</w:t>
            </w:r>
            <w:r>
              <w:rPr>
                <w:rFonts w:hint="eastAsia"/>
                <w:u w:val="single"/>
              </w:rPr>
              <w:t>缩尺模型要求</w:t>
            </w:r>
            <w:r>
              <w:rPr>
                <w:rFonts w:ascii="Times New Roman" w:cs="Times New Roman"/>
                <w:u w:val="single"/>
              </w:rPr>
              <w:t>S</w:t>
            </w:r>
            <w:r>
              <w:rPr>
                <w:rFonts w:ascii="Times New Roman" w:cs="Times New Roman"/>
                <w:u w:val="single"/>
                <w:vertAlign w:val="subscript"/>
              </w:rPr>
              <w:t>2</w:t>
            </w:r>
            <w:r>
              <w:rPr>
                <w:rFonts w:hint="eastAsia" w:ascii="Times New Roman" w:cs="Times New Roman"/>
                <w:u w:val="single"/>
              </w:rPr>
              <w:t>与原型支座相等。</w:t>
            </w:r>
          </w:p>
          <w:p w14:paraId="3CB5C325">
            <w:pPr>
              <w:pStyle w:val="72"/>
              <w:ind w:firstLine="420"/>
              <w:jc w:val="center"/>
              <w:rPr>
                <w:rFonts w:hint="eastAsia" w:ascii="黑体" w:hAnsi="黑体" w:eastAsia="黑体" w:cs="黑体"/>
              </w:rPr>
            </w:pPr>
            <w:r>
              <w:rPr>
                <w:rFonts w:hint="eastAsia" w:ascii="黑体" w:hAnsi="黑体" w:eastAsia="黑体" w:cs="黑体"/>
              </w:rPr>
              <w:t>表</w:t>
            </w:r>
            <w:r>
              <w:rPr>
                <w:rFonts w:ascii="黑体" w:hAnsi="黑体" w:eastAsia="黑体" w:cs="黑体"/>
              </w:rPr>
              <w:t xml:space="preserve">13 </w:t>
            </w:r>
            <w:r>
              <w:rPr>
                <w:rFonts w:hint="eastAsia" w:ascii="黑体" w:hAnsi="黑体" w:eastAsia="黑体" w:cs="黑体"/>
              </w:rPr>
              <w:t>支座竖向</w:t>
            </w:r>
            <w:r>
              <w:rPr>
                <w:rFonts w:ascii="黑体" w:hAnsi="黑体" w:eastAsia="黑体" w:cs="黑体"/>
              </w:rPr>
              <w:t>和水平</w:t>
            </w:r>
            <w:r>
              <w:rPr>
                <w:rFonts w:hint="eastAsia" w:ascii="黑体" w:hAnsi="黑体" w:eastAsia="黑体" w:cs="黑体"/>
              </w:rPr>
              <w:t>力学性能检验项目</w:t>
            </w:r>
          </w:p>
          <w:p w14:paraId="240C3A42">
            <w:r>
              <w:drawing>
                <wp:inline distT="0" distB="0" distL="114300" distR="114300">
                  <wp:extent cx="3117215" cy="3850640"/>
                  <wp:effectExtent l="0" t="0" r="6985" b="16510"/>
                  <wp:docPr id="61"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80"/>
                          <pic:cNvPicPr>
                            <a:picLocks noChangeAspect="1"/>
                          </pic:cNvPicPr>
                        </pic:nvPicPr>
                        <pic:blipFill>
                          <a:blip r:embed="rId37"/>
                          <a:stretch>
                            <a:fillRect/>
                          </a:stretch>
                        </pic:blipFill>
                        <pic:spPr>
                          <a:xfrm>
                            <a:off x="0" y="0"/>
                            <a:ext cx="3117215" cy="3850640"/>
                          </a:xfrm>
                          <a:prstGeom prst="rect">
                            <a:avLst/>
                          </a:prstGeom>
                          <a:noFill/>
                          <a:ln>
                            <a:noFill/>
                          </a:ln>
                        </pic:spPr>
                      </pic:pic>
                    </a:graphicData>
                  </a:graphic>
                </wp:inline>
              </w:drawing>
            </w:r>
          </w:p>
        </w:tc>
      </w:tr>
      <w:tr w14:paraId="5E4AB9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6C3BDE5B">
            <w:pPr>
              <w:pStyle w:val="74"/>
              <w:numPr>
                <w:ilvl w:val="3"/>
                <w:numId w:val="0"/>
              </w:numPr>
              <w:rPr>
                <w:rFonts w:hint="eastAsia" w:ascii="黑体" w:hAnsi="黑体"/>
              </w:rPr>
            </w:pPr>
            <w:r>
              <w:rPr>
                <w:rFonts w:hint="eastAsia" w:ascii="黑体" w:hAnsi="黑体"/>
              </w:rPr>
              <w:t>8.2.5耐久性性能</w:t>
            </w:r>
          </w:p>
          <w:p w14:paraId="4FCE3388">
            <w:pPr>
              <w:pStyle w:val="72"/>
              <w:ind w:firstLine="420"/>
              <w:rPr>
                <w:rFonts w:cs="Times New Roman"/>
              </w:rPr>
            </w:pPr>
            <w:r>
              <w:rPr>
                <w:rFonts w:hint="eastAsia"/>
              </w:rPr>
              <w:t>支座耐久性检验项目见表</w:t>
            </w:r>
            <w:r>
              <w:t>14</w:t>
            </w:r>
            <w:r>
              <w:rPr>
                <w:rFonts w:hint="eastAsia"/>
              </w:rPr>
              <w:t>。</w:t>
            </w:r>
          </w:p>
          <w:p w14:paraId="349BC698">
            <w:pPr>
              <w:pStyle w:val="72"/>
              <w:ind w:firstLine="420"/>
              <w:jc w:val="center"/>
              <w:rPr>
                <w:rFonts w:hint="eastAsia" w:ascii="黑体" w:hAnsi="黑体" w:eastAsia="黑体" w:cs="黑体"/>
              </w:rPr>
            </w:pPr>
            <w:r>
              <w:rPr>
                <w:rFonts w:hint="eastAsia" w:ascii="黑体" w:hAnsi="黑体" w:eastAsia="黑体" w:cs="黑体"/>
              </w:rPr>
              <w:t>表1</w:t>
            </w:r>
            <w:r>
              <w:rPr>
                <w:rFonts w:ascii="黑体" w:hAnsi="黑体" w:eastAsia="黑体" w:cs="黑体"/>
              </w:rPr>
              <w:t xml:space="preserve">4 </w:t>
            </w:r>
            <w:r>
              <w:rPr>
                <w:rFonts w:hint="eastAsia" w:ascii="黑体" w:hAnsi="黑体" w:eastAsia="黑体" w:cs="黑体"/>
              </w:rPr>
              <w:t>支座耐久性检验项目</w:t>
            </w:r>
          </w:p>
          <w:p w14:paraId="571E750E">
            <w:r>
              <w:drawing>
                <wp:inline distT="0" distB="0" distL="114300" distR="114300">
                  <wp:extent cx="3103245" cy="1642110"/>
                  <wp:effectExtent l="0" t="0" r="1905" b="15240"/>
                  <wp:docPr id="63"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82"/>
                          <pic:cNvPicPr>
                            <a:picLocks noChangeAspect="1"/>
                          </pic:cNvPicPr>
                        </pic:nvPicPr>
                        <pic:blipFill>
                          <a:blip r:embed="rId38"/>
                          <a:stretch>
                            <a:fillRect/>
                          </a:stretch>
                        </pic:blipFill>
                        <pic:spPr>
                          <a:xfrm>
                            <a:off x="0" y="0"/>
                            <a:ext cx="3103245" cy="1642110"/>
                          </a:xfrm>
                          <a:prstGeom prst="rect">
                            <a:avLst/>
                          </a:prstGeom>
                          <a:noFill/>
                          <a:ln>
                            <a:noFill/>
                          </a:ln>
                        </pic:spPr>
                      </pic:pic>
                    </a:graphicData>
                  </a:graphic>
                </wp:inline>
              </w:drawing>
            </w:r>
          </w:p>
        </w:tc>
        <w:tc>
          <w:tcPr>
            <w:tcW w:w="5126" w:type="dxa"/>
          </w:tcPr>
          <w:p w14:paraId="467D90FF">
            <w:pPr>
              <w:pStyle w:val="74"/>
              <w:numPr>
                <w:ilvl w:val="3"/>
                <w:numId w:val="0"/>
              </w:numPr>
              <w:rPr>
                <w:rFonts w:hint="eastAsia" w:ascii="黑体" w:hAnsi="黑体"/>
              </w:rPr>
            </w:pPr>
            <w:r>
              <w:rPr>
                <w:rFonts w:hint="eastAsia" w:ascii="黑体" w:hAnsi="黑体"/>
              </w:rPr>
              <w:t>8.2.5耐久性性能</w:t>
            </w:r>
          </w:p>
          <w:p w14:paraId="5A306A97">
            <w:pPr>
              <w:pStyle w:val="72"/>
              <w:ind w:firstLine="420"/>
              <w:rPr>
                <w:rFonts w:cs="Times New Roman"/>
              </w:rPr>
            </w:pPr>
            <w:r>
              <w:rPr>
                <w:rFonts w:hint="eastAsia"/>
              </w:rPr>
              <w:t>支座耐久性检验项目见表</w:t>
            </w:r>
            <w:r>
              <w:t>14</w:t>
            </w:r>
            <w:r>
              <w:rPr>
                <w:rFonts w:hint="eastAsia"/>
              </w:rPr>
              <w:t>。</w:t>
            </w:r>
          </w:p>
          <w:p w14:paraId="0E760889">
            <w:pPr>
              <w:pStyle w:val="72"/>
              <w:ind w:firstLine="420"/>
              <w:jc w:val="center"/>
              <w:rPr>
                <w:rFonts w:hint="eastAsia" w:ascii="黑体" w:hAnsi="黑体" w:eastAsia="黑体" w:cs="黑体"/>
              </w:rPr>
            </w:pPr>
            <w:r>
              <w:rPr>
                <w:rFonts w:hint="eastAsia" w:ascii="黑体" w:hAnsi="黑体" w:eastAsia="黑体" w:cs="黑体"/>
              </w:rPr>
              <w:t>表1</w:t>
            </w:r>
            <w:r>
              <w:rPr>
                <w:rFonts w:ascii="黑体" w:hAnsi="黑体" w:eastAsia="黑体" w:cs="黑体"/>
              </w:rPr>
              <w:t xml:space="preserve">4 </w:t>
            </w:r>
            <w:r>
              <w:rPr>
                <w:rFonts w:hint="eastAsia" w:ascii="黑体" w:hAnsi="黑体" w:eastAsia="黑体" w:cs="黑体"/>
              </w:rPr>
              <w:t>支座耐久性检验项目</w:t>
            </w:r>
          </w:p>
          <w:p w14:paraId="613235E7">
            <w:r>
              <w:drawing>
                <wp:inline distT="0" distB="0" distL="114300" distR="114300">
                  <wp:extent cx="3112135" cy="1640205"/>
                  <wp:effectExtent l="0" t="0" r="12065" b="17145"/>
                  <wp:docPr id="64"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83"/>
                          <pic:cNvPicPr>
                            <a:picLocks noChangeAspect="1"/>
                          </pic:cNvPicPr>
                        </pic:nvPicPr>
                        <pic:blipFill>
                          <a:blip r:embed="rId39"/>
                          <a:stretch>
                            <a:fillRect/>
                          </a:stretch>
                        </pic:blipFill>
                        <pic:spPr>
                          <a:xfrm>
                            <a:off x="0" y="0"/>
                            <a:ext cx="3112135" cy="1640205"/>
                          </a:xfrm>
                          <a:prstGeom prst="rect">
                            <a:avLst/>
                          </a:prstGeom>
                          <a:noFill/>
                          <a:ln>
                            <a:noFill/>
                          </a:ln>
                        </pic:spPr>
                      </pic:pic>
                    </a:graphicData>
                  </a:graphic>
                </wp:inline>
              </w:drawing>
            </w:r>
          </w:p>
        </w:tc>
      </w:tr>
      <w:tr w14:paraId="6416DF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tcPr>
          <w:p w14:paraId="73B5BB1C">
            <w:pPr>
              <w:pStyle w:val="74"/>
              <w:numPr>
                <w:ilvl w:val="3"/>
                <w:numId w:val="0"/>
              </w:numPr>
              <w:jc w:val="both"/>
              <w:rPr>
                <w:rFonts w:hint="eastAsia" w:ascii="黑体" w:hAnsi="黑体"/>
              </w:rPr>
            </w:pPr>
            <w:r>
              <w:rPr>
                <w:rFonts w:hint="eastAsia" w:ascii="黑体" w:hAnsi="黑体"/>
              </w:rPr>
              <w:t>8.2.6相关性</w:t>
            </w:r>
            <w:r>
              <w:rPr>
                <w:rFonts w:ascii="黑体" w:hAnsi="黑体"/>
              </w:rPr>
              <w:t>性能</w:t>
            </w:r>
          </w:p>
          <w:p w14:paraId="1DD82652">
            <w:pPr>
              <w:pStyle w:val="72"/>
              <w:ind w:firstLine="420"/>
              <w:rPr>
                <w:rFonts w:cs="Times New Roman"/>
              </w:rPr>
            </w:pPr>
            <w:r>
              <w:rPr>
                <w:rFonts w:hint="eastAsia"/>
              </w:rPr>
              <w:t>支座相关性检验项目见表</w:t>
            </w:r>
            <w:r>
              <w:t>15</w:t>
            </w:r>
            <w:r>
              <w:rPr>
                <w:rFonts w:hint="eastAsia"/>
              </w:rPr>
              <w:t>。</w:t>
            </w:r>
          </w:p>
          <w:p w14:paraId="0842E917">
            <w:pPr>
              <w:pStyle w:val="72"/>
              <w:ind w:firstLine="420"/>
              <w:rPr>
                <w:rFonts w:hint="eastAsia" w:ascii="黑体" w:hAnsi="黑体" w:eastAsia="黑体" w:cs="Times New Roman"/>
              </w:rPr>
            </w:pPr>
            <w:r>
              <w:rPr>
                <w:rFonts w:hint="eastAsia" w:ascii="黑体" w:hAnsi="黑体" w:eastAsia="黑体" w:cs="黑体"/>
              </w:rPr>
              <w:t>表1</w:t>
            </w:r>
            <w:r>
              <w:rPr>
                <w:rFonts w:ascii="黑体" w:hAnsi="黑体" w:eastAsia="黑体" w:cs="黑体"/>
              </w:rPr>
              <w:t xml:space="preserve">5 </w:t>
            </w:r>
            <w:r>
              <w:rPr>
                <w:rFonts w:hint="eastAsia" w:ascii="黑体" w:hAnsi="黑体" w:eastAsia="黑体" w:cs="黑体"/>
              </w:rPr>
              <w:t>支座相关性检验项目</w:t>
            </w:r>
          </w:p>
          <w:p w14:paraId="09F4CDE8">
            <w:r>
              <w:drawing>
                <wp:inline distT="0" distB="0" distL="114300" distR="114300">
                  <wp:extent cx="3101340" cy="1468755"/>
                  <wp:effectExtent l="0" t="0" r="3810" b="17145"/>
                  <wp:docPr id="65"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84"/>
                          <pic:cNvPicPr>
                            <a:picLocks noChangeAspect="1"/>
                          </pic:cNvPicPr>
                        </pic:nvPicPr>
                        <pic:blipFill>
                          <a:blip r:embed="rId40"/>
                          <a:stretch>
                            <a:fillRect/>
                          </a:stretch>
                        </pic:blipFill>
                        <pic:spPr>
                          <a:xfrm>
                            <a:off x="0" y="0"/>
                            <a:ext cx="3101340" cy="1468755"/>
                          </a:xfrm>
                          <a:prstGeom prst="rect">
                            <a:avLst/>
                          </a:prstGeom>
                          <a:noFill/>
                          <a:ln>
                            <a:noFill/>
                          </a:ln>
                        </pic:spPr>
                      </pic:pic>
                    </a:graphicData>
                  </a:graphic>
                </wp:inline>
              </w:drawing>
            </w:r>
          </w:p>
        </w:tc>
        <w:tc>
          <w:tcPr>
            <w:tcW w:w="5126" w:type="dxa"/>
          </w:tcPr>
          <w:p w14:paraId="0F8BF9C0">
            <w:pPr>
              <w:pStyle w:val="74"/>
              <w:numPr>
                <w:ilvl w:val="3"/>
                <w:numId w:val="0"/>
              </w:numPr>
              <w:rPr>
                <w:rFonts w:hint="eastAsia" w:ascii="黑体" w:hAnsi="黑体"/>
              </w:rPr>
            </w:pPr>
            <w:r>
              <w:rPr>
                <w:rFonts w:hint="eastAsia" w:ascii="黑体" w:hAnsi="黑体"/>
              </w:rPr>
              <w:t>8.2.6相关性</w:t>
            </w:r>
            <w:r>
              <w:rPr>
                <w:rFonts w:ascii="黑体" w:hAnsi="黑体"/>
              </w:rPr>
              <w:t>性能</w:t>
            </w:r>
          </w:p>
          <w:p w14:paraId="07F904A2">
            <w:pPr>
              <w:pStyle w:val="72"/>
              <w:ind w:firstLine="420"/>
              <w:rPr>
                <w:rFonts w:cs="Times New Roman"/>
              </w:rPr>
            </w:pPr>
            <w:r>
              <w:rPr>
                <w:rFonts w:hint="eastAsia"/>
              </w:rPr>
              <w:t>支座相关性检验项目见表</w:t>
            </w:r>
            <w:r>
              <w:t>15</w:t>
            </w:r>
            <w:r>
              <w:rPr>
                <w:rFonts w:hint="eastAsia"/>
              </w:rPr>
              <w:t>。</w:t>
            </w:r>
          </w:p>
          <w:p w14:paraId="77337212">
            <w:pPr>
              <w:pStyle w:val="72"/>
              <w:ind w:firstLine="420"/>
              <w:jc w:val="center"/>
              <w:rPr>
                <w:rFonts w:hint="eastAsia" w:ascii="黑体" w:hAnsi="黑体" w:eastAsia="黑体" w:cs="Times New Roman"/>
              </w:rPr>
            </w:pPr>
            <w:r>
              <w:rPr>
                <w:rFonts w:hint="eastAsia" w:ascii="黑体" w:hAnsi="黑体" w:eastAsia="黑体" w:cs="黑体"/>
              </w:rPr>
              <w:t>表1</w:t>
            </w:r>
            <w:r>
              <w:rPr>
                <w:rFonts w:ascii="黑体" w:hAnsi="黑体" w:eastAsia="黑体" w:cs="黑体"/>
              </w:rPr>
              <w:t xml:space="preserve">5 </w:t>
            </w:r>
            <w:r>
              <w:rPr>
                <w:rFonts w:hint="eastAsia" w:ascii="黑体" w:hAnsi="黑体" w:eastAsia="黑体" w:cs="黑体"/>
              </w:rPr>
              <w:t>支座相关性检验项目</w:t>
            </w:r>
          </w:p>
          <w:p w14:paraId="0BAC17BA">
            <w:r>
              <w:drawing>
                <wp:inline distT="0" distB="0" distL="114300" distR="114300">
                  <wp:extent cx="3116580" cy="1887220"/>
                  <wp:effectExtent l="0" t="0" r="7620" b="17780"/>
                  <wp:docPr id="67"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86"/>
                          <pic:cNvPicPr>
                            <a:picLocks noChangeAspect="1"/>
                          </pic:cNvPicPr>
                        </pic:nvPicPr>
                        <pic:blipFill>
                          <a:blip r:embed="rId41"/>
                          <a:stretch>
                            <a:fillRect/>
                          </a:stretch>
                        </pic:blipFill>
                        <pic:spPr>
                          <a:xfrm>
                            <a:off x="0" y="0"/>
                            <a:ext cx="3116580" cy="1887220"/>
                          </a:xfrm>
                          <a:prstGeom prst="rect">
                            <a:avLst/>
                          </a:prstGeom>
                          <a:noFill/>
                          <a:ln>
                            <a:noFill/>
                          </a:ln>
                        </pic:spPr>
                      </pic:pic>
                    </a:graphicData>
                  </a:graphic>
                </wp:inline>
              </w:drawing>
            </w:r>
          </w:p>
        </w:tc>
      </w:tr>
      <w:tr w14:paraId="69C00E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tcPr>
          <w:p w14:paraId="5C83AD61">
            <w:pPr>
              <w:pStyle w:val="74"/>
              <w:numPr>
                <w:ilvl w:val="3"/>
                <w:numId w:val="0"/>
              </w:numPr>
              <w:jc w:val="both"/>
              <w:rPr>
                <w:rFonts w:hint="eastAsia" w:ascii="黑体" w:hAnsi="黑体"/>
              </w:rPr>
            </w:pPr>
            <w:r>
              <w:rPr>
                <w:rFonts w:hint="eastAsia" w:ascii="黑体" w:hAnsi="黑体"/>
              </w:rPr>
              <w:t>8.3.2型式检验</w:t>
            </w:r>
          </w:p>
          <w:p w14:paraId="429F3DBA">
            <w:pPr>
              <w:pStyle w:val="72"/>
              <w:ind w:firstLine="420"/>
            </w:pPr>
            <w:r>
              <w:rPr>
                <w:rFonts w:hint="eastAsia"/>
              </w:rPr>
              <w:t>当全部型式检验项目均合格时，判定型式检验合格；当检验结果有不合格项目时，则判定型式检验不合格。</w:t>
            </w:r>
          </w:p>
          <w:p w14:paraId="720FDA17">
            <w:pPr>
              <w:ind w:firstLine="420" w:firstLineChars="200"/>
            </w:pPr>
            <w:r>
              <w:rPr>
                <w:rFonts w:hint="eastAsia"/>
              </w:rPr>
              <w:t>满足下列全部条件的，可采用以前相应的型式检验结果：</w:t>
            </w:r>
          </w:p>
          <w:p w14:paraId="652E962B">
            <w:pPr>
              <w:pStyle w:val="72"/>
              <w:ind w:firstLine="420"/>
            </w:pPr>
            <w:r>
              <w:rPr>
                <w:rFonts w:hint="eastAsia"/>
              </w:rPr>
              <w:t>a）支座用相同的材料配方和工艺方法制作；</w:t>
            </w:r>
          </w:p>
          <w:p w14:paraId="4743EC87">
            <w:pPr>
              <w:pStyle w:val="72"/>
              <w:ind w:firstLine="420"/>
            </w:pPr>
            <w:r>
              <w:rPr>
                <w:rFonts w:hint="eastAsia"/>
              </w:rPr>
              <w:t>b）相应的外部和内部尺寸相差10%以内；</w:t>
            </w:r>
          </w:p>
          <w:p w14:paraId="13D5C904">
            <w:pPr>
              <w:pStyle w:val="72"/>
              <w:ind w:firstLine="420"/>
            </w:pPr>
            <w:r>
              <w:rPr>
                <w:rFonts w:hint="eastAsia"/>
              </w:rPr>
              <w:t>c）第二形状系数S</w:t>
            </w:r>
            <w:r>
              <w:rPr>
                <w:vertAlign w:val="subscript"/>
              </w:rPr>
              <w:t>2</w:t>
            </w:r>
            <w:r>
              <w:rPr>
                <w:rFonts w:hint="eastAsia"/>
              </w:rPr>
              <w:t>相差±0.4以内；</w:t>
            </w:r>
          </w:p>
          <w:p w14:paraId="0B8D6D5B">
            <w:pPr>
              <w:pStyle w:val="72"/>
              <w:ind w:firstLine="420"/>
            </w:pPr>
            <w:r>
              <w:rPr>
                <w:rFonts w:hint="eastAsia"/>
              </w:rPr>
              <w:t>d） 第二形状系数S</w:t>
            </w:r>
            <w:r>
              <w:rPr>
                <w:rFonts w:hint="eastAsia"/>
                <w:vertAlign w:val="subscript"/>
              </w:rPr>
              <w:t>2</w:t>
            </w:r>
            <w:r>
              <w:rPr>
                <w:rFonts w:hint="eastAsia"/>
              </w:rPr>
              <w:t>小于5，以前的极限性能和压应力相关性试验试件的S</w:t>
            </w:r>
            <w:r>
              <w:rPr>
                <w:rFonts w:hint="eastAsia"/>
                <w:vertAlign w:val="subscript"/>
              </w:rPr>
              <w:t>2</w:t>
            </w:r>
            <w:r>
              <w:rPr>
                <w:rFonts w:hint="eastAsia"/>
              </w:rPr>
              <w:t>不大于本次试验试件的S</w:t>
            </w:r>
            <w:r>
              <w:rPr>
                <w:rFonts w:hint="eastAsia"/>
                <w:vertAlign w:val="subscript"/>
              </w:rPr>
              <w:t>2</w:t>
            </w:r>
            <w:r>
              <w:rPr>
                <w:rFonts w:hint="eastAsia"/>
              </w:rPr>
              <w:t>；</w:t>
            </w:r>
          </w:p>
          <w:p w14:paraId="4BA8F9CD">
            <w:pPr>
              <w:ind w:firstLine="420" w:firstLineChars="200"/>
            </w:pPr>
            <w:r>
              <w:rPr>
                <w:rFonts w:hint="eastAsia"/>
              </w:rPr>
              <w:t>e）以前的试验条件更严格。</w:t>
            </w:r>
          </w:p>
        </w:tc>
        <w:tc>
          <w:tcPr>
            <w:tcW w:w="5126" w:type="dxa"/>
          </w:tcPr>
          <w:p w14:paraId="2C83FABA">
            <w:pPr>
              <w:pStyle w:val="74"/>
              <w:numPr>
                <w:ilvl w:val="3"/>
                <w:numId w:val="0"/>
              </w:numPr>
              <w:rPr>
                <w:rFonts w:hint="eastAsia" w:ascii="黑体" w:hAnsi="黑体"/>
              </w:rPr>
            </w:pPr>
            <w:r>
              <w:rPr>
                <w:rFonts w:hint="eastAsia" w:ascii="黑体" w:hAnsi="黑体"/>
              </w:rPr>
              <w:t>8.3.2型式检验</w:t>
            </w:r>
          </w:p>
          <w:p w14:paraId="5E366F76">
            <w:pPr>
              <w:pStyle w:val="72"/>
              <w:ind w:firstLine="420"/>
            </w:pPr>
            <w:r>
              <w:rPr>
                <w:rFonts w:hint="eastAsia"/>
              </w:rPr>
              <w:t>当全部型式检验项目均合格时，判定型式检验合格；当检验结果有不合格项目时，则判定型式检验不合格。</w:t>
            </w:r>
          </w:p>
          <w:p w14:paraId="695EDD0D">
            <w:pPr>
              <w:ind w:firstLine="420" w:firstLineChars="200"/>
            </w:pPr>
            <w:r>
              <w:rPr>
                <w:rFonts w:hint="eastAsia"/>
              </w:rPr>
              <w:t>满足下列全部条件的，可采用以前相应的型式检验结果：</w:t>
            </w:r>
          </w:p>
          <w:p w14:paraId="77533E18">
            <w:pPr>
              <w:pStyle w:val="72"/>
              <w:ind w:firstLine="420"/>
            </w:pPr>
            <w:r>
              <w:rPr>
                <w:rFonts w:hint="eastAsia"/>
              </w:rPr>
              <w:t>a）支座用相同的材料配方和工艺方法制作；</w:t>
            </w:r>
          </w:p>
          <w:p w14:paraId="4F822105">
            <w:pPr>
              <w:pStyle w:val="72"/>
              <w:ind w:firstLine="420"/>
            </w:pPr>
            <w:r>
              <w:rPr>
                <w:rFonts w:hint="eastAsia"/>
              </w:rPr>
              <w:t>b）</w:t>
            </w:r>
            <w:r>
              <w:rPr>
                <w:rFonts w:hint="eastAsia"/>
                <w:u w:val="single"/>
              </w:rPr>
              <w:t>支座</w:t>
            </w:r>
            <w:r>
              <w:rPr>
                <w:rFonts w:hint="eastAsia"/>
              </w:rPr>
              <w:t>相应的外部和内部尺寸相差10%以内；</w:t>
            </w:r>
          </w:p>
          <w:p w14:paraId="4E3991DC">
            <w:pPr>
              <w:pStyle w:val="72"/>
              <w:ind w:firstLine="420"/>
            </w:pPr>
            <w:r>
              <w:rPr>
                <w:rFonts w:hint="eastAsia"/>
              </w:rPr>
              <w:t>c）</w:t>
            </w:r>
            <w:r>
              <w:rPr>
                <w:rFonts w:hint="eastAsia"/>
                <w:u w:val="single"/>
              </w:rPr>
              <w:t>支座</w:t>
            </w:r>
            <w:r>
              <w:rPr>
                <w:rFonts w:hint="eastAsia"/>
              </w:rPr>
              <w:t>第二形状系数S</w:t>
            </w:r>
            <w:r>
              <w:rPr>
                <w:vertAlign w:val="subscript"/>
              </w:rPr>
              <w:t>2</w:t>
            </w:r>
            <w:r>
              <w:rPr>
                <w:rFonts w:hint="eastAsia"/>
              </w:rPr>
              <w:t>相差±0.4以内；</w:t>
            </w:r>
          </w:p>
          <w:p w14:paraId="119D84FC">
            <w:pPr>
              <w:pStyle w:val="72"/>
              <w:ind w:firstLine="420"/>
            </w:pPr>
            <w:r>
              <w:rPr>
                <w:rFonts w:hint="eastAsia"/>
              </w:rPr>
              <w:t>d）</w:t>
            </w:r>
            <w:r>
              <w:rPr>
                <w:rFonts w:hint="eastAsia"/>
                <w:u w:val="single"/>
              </w:rPr>
              <w:t>支座</w:t>
            </w:r>
            <w:r>
              <w:rPr>
                <w:rFonts w:hint="eastAsia"/>
              </w:rPr>
              <w:t>第二形状系数S</w:t>
            </w:r>
            <w:r>
              <w:rPr>
                <w:rFonts w:hint="eastAsia"/>
                <w:vertAlign w:val="subscript"/>
              </w:rPr>
              <w:t>2</w:t>
            </w:r>
            <w:r>
              <w:rPr>
                <w:rFonts w:hint="eastAsia"/>
              </w:rPr>
              <w:t>小于5，以前的极限性能和压应力相关性试验试件的S</w:t>
            </w:r>
            <w:r>
              <w:rPr>
                <w:rFonts w:hint="eastAsia"/>
                <w:vertAlign w:val="subscript"/>
              </w:rPr>
              <w:t>2</w:t>
            </w:r>
            <w:r>
              <w:rPr>
                <w:rFonts w:hint="eastAsia"/>
              </w:rPr>
              <w:t>不大于本次试验试件的S</w:t>
            </w:r>
            <w:r>
              <w:rPr>
                <w:rFonts w:hint="eastAsia"/>
                <w:vertAlign w:val="subscript"/>
              </w:rPr>
              <w:t>2</w:t>
            </w:r>
            <w:r>
              <w:rPr>
                <w:rFonts w:hint="eastAsia"/>
              </w:rPr>
              <w:t>；</w:t>
            </w:r>
          </w:p>
          <w:p w14:paraId="630365C7">
            <w:pPr>
              <w:ind w:firstLine="420" w:firstLineChars="200"/>
            </w:pPr>
            <w:r>
              <w:rPr>
                <w:rFonts w:hint="eastAsia"/>
              </w:rPr>
              <w:t>e）以前的试验条件更严格。</w:t>
            </w:r>
          </w:p>
          <w:p w14:paraId="14645FE8">
            <w:pPr>
              <w:ind w:firstLine="420" w:firstLineChars="200"/>
            </w:pPr>
            <w:r>
              <w:rPr>
                <w:rFonts w:hint="eastAsia"/>
                <w:u w:val="single"/>
              </w:rPr>
              <w:t>f)以前的型式检验仍在使用有效期内。</w:t>
            </w:r>
          </w:p>
        </w:tc>
      </w:tr>
      <w:tr w14:paraId="023C26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07EF1487">
            <w:pPr>
              <w:ind w:firstLine="480" w:firstLineChars="200"/>
              <w:jc w:val="center"/>
            </w:pPr>
            <w:r>
              <w:rPr>
                <w:rFonts w:hint="eastAsia" w:ascii="黑体" w:hAnsi="黑体" w:eastAsia="黑体" w:cs="黑体"/>
                <w:sz w:val="24"/>
                <w:szCs w:val="24"/>
              </w:rPr>
              <w:t>附录B</w:t>
            </w:r>
          </w:p>
        </w:tc>
        <w:tc>
          <w:tcPr>
            <w:tcW w:w="5126" w:type="dxa"/>
            <w:vAlign w:val="center"/>
          </w:tcPr>
          <w:p w14:paraId="79F334C3">
            <w:pPr>
              <w:ind w:firstLine="480" w:firstLineChars="200"/>
              <w:jc w:val="center"/>
              <w:rPr>
                <w:u w:val="single"/>
              </w:rPr>
            </w:pPr>
            <w:r>
              <w:rPr>
                <w:rFonts w:hint="eastAsia" w:ascii="黑体" w:hAnsi="黑体" w:eastAsia="黑体" w:cs="黑体"/>
                <w:sz w:val="24"/>
                <w:szCs w:val="24"/>
              </w:rPr>
              <w:t>附录B</w:t>
            </w:r>
          </w:p>
        </w:tc>
      </w:tr>
      <w:tr w14:paraId="139788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588ED105">
            <w:pPr>
              <w:pStyle w:val="70"/>
              <w:ind w:firstLine="0" w:firstLineChars="0"/>
              <w:rPr>
                <w:rFonts w:ascii="Times New Roman"/>
                <w:sz w:val="21"/>
                <w:szCs w:val="20"/>
              </w:rPr>
            </w:pPr>
            <w:r>
              <w:rPr>
                <w:rFonts w:ascii="Times New Roman"/>
                <w:sz w:val="21"/>
                <w:szCs w:val="20"/>
              </w:rPr>
              <w:t xml:space="preserve">B.3.1 </w:t>
            </w:r>
            <w:r>
              <w:rPr>
                <w:rFonts w:hint="eastAsia" w:ascii="Times New Roman"/>
                <w:sz w:val="21"/>
                <w:szCs w:val="20"/>
              </w:rPr>
              <w:t>竖向</w:t>
            </w:r>
            <w:r>
              <w:rPr>
                <w:rFonts w:ascii="Times New Roman"/>
                <w:sz w:val="21"/>
                <w:szCs w:val="20"/>
              </w:rPr>
              <w:t>受压</w:t>
            </w:r>
            <w:r>
              <w:rPr>
                <w:rFonts w:hint="eastAsia" w:ascii="Times New Roman"/>
                <w:sz w:val="21"/>
                <w:szCs w:val="20"/>
              </w:rPr>
              <w:t>力学</w:t>
            </w:r>
            <w:r>
              <w:rPr>
                <w:rFonts w:ascii="Times New Roman"/>
                <w:sz w:val="21"/>
                <w:szCs w:val="20"/>
              </w:rPr>
              <w:t>模型</w:t>
            </w:r>
          </w:p>
          <w:p w14:paraId="79F58648">
            <w:pPr>
              <w:ind w:firstLine="420" w:firstLineChars="200"/>
              <w:jc w:val="left"/>
              <w:rPr>
                <w:rFonts w:hint="eastAsia" w:ascii="黑体" w:hAnsi="黑体" w:eastAsia="黑体" w:cs="黑体"/>
                <w:sz w:val="24"/>
                <w:szCs w:val="24"/>
              </w:rPr>
            </w:pPr>
            <w:r>
              <w:rPr>
                <w:rFonts w:hint="eastAsia"/>
              </w:rPr>
              <w:t>竖向受压力学</w:t>
            </w:r>
            <w:r>
              <w:t>模型采用线弹性</w:t>
            </w:r>
            <w:r>
              <w:rPr>
                <w:rFonts w:hint="eastAsia"/>
              </w:rPr>
              <w:t>模型</w:t>
            </w:r>
            <w:r>
              <w:t>，</w:t>
            </w:r>
            <w:r>
              <w:rPr>
                <w:rFonts w:hint="eastAsia"/>
              </w:rPr>
              <w:t>线弹性</w:t>
            </w:r>
            <w:r>
              <w:t>刚度取支座的</w:t>
            </w:r>
            <w:r>
              <w:rPr>
                <w:rFonts w:hint="eastAsia"/>
              </w:rPr>
              <w:t>竖向</w:t>
            </w:r>
            <w:r>
              <w:t>受压刚度</w:t>
            </w:r>
            <w:r>
              <w:rPr>
                <w:rFonts w:hint="eastAsia"/>
              </w:rPr>
              <w:t>。</w:t>
            </w:r>
          </w:p>
        </w:tc>
        <w:tc>
          <w:tcPr>
            <w:tcW w:w="5126" w:type="dxa"/>
          </w:tcPr>
          <w:p w14:paraId="5B2D645A">
            <w:pPr>
              <w:pStyle w:val="70"/>
              <w:ind w:firstLine="0" w:firstLineChars="0"/>
              <w:rPr>
                <w:rFonts w:ascii="Times New Roman"/>
                <w:sz w:val="21"/>
                <w:szCs w:val="20"/>
              </w:rPr>
            </w:pPr>
            <w:r>
              <w:rPr>
                <w:rFonts w:ascii="Times New Roman"/>
                <w:sz w:val="21"/>
                <w:szCs w:val="20"/>
              </w:rPr>
              <w:t xml:space="preserve">B.3.1 </w:t>
            </w:r>
            <w:r>
              <w:rPr>
                <w:rFonts w:hint="eastAsia" w:ascii="Times New Roman"/>
                <w:sz w:val="21"/>
                <w:szCs w:val="20"/>
              </w:rPr>
              <w:t>竖向</w:t>
            </w:r>
            <w:r>
              <w:rPr>
                <w:rFonts w:ascii="Times New Roman"/>
                <w:sz w:val="21"/>
                <w:szCs w:val="20"/>
              </w:rPr>
              <w:t>受压</w:t>
            </w:r>
            <w:r>
              <w:rPr>
                <w:rFonts w:hint="eastAsia" w:ascii="Times New Roman"/>
                <w:sz w:val="21"/>
                <w:szCs w:val="20"/>
              </w:rPr>
              <w:t>力学</w:t>
            </w:r>
            <w:r>
              <w:rPr>
                <w:rFonts w:ascii="Times New Roman"/>
                <w:sz w:val="21"/>
                <w:szCs w:val="20"/>
              </w:rPr>
              <w:t>模型</w:t>
            </w:r>
          </w:p>
          <w:p w14:paraId="776FB59F">
            <w:pPr>
              <w:ind w:firstLine="420" w:firstLineChars="200"/>
              <w:rPr>
                <w:rFonts w:hint="eastAsia" w:ascii="黑体" w:hAnsi="黑体" w:eastAsia="黑体" w:cs="黑体"/>
              </w:rPr>
            </w:pPr>
            <w:r>
              <w:rPr>
                <w:rFonts w:hint="eastAsia"/>
              </w:rPr>
              <w:t>竖向受压力学</w:t>
            </w:r>
            <w:r>
              <w:t>模型采用线弹性</w:t>
            </w:r>
            <w:r>
              <w:rPr>
                <w:rFonts w:hint="eastAsia"/>
              </w:rPr>
              <w:t>模型</w:t>
            </w:r>
            <w:r>
              <w:t>，</w:t>
            </w:r>
            <w:r>
              <w:rPr>
                <w:rFonts w:hint="eastAsia"/>
                <w:u w:val="single"/>
              </w:rPr>
              <w:t>见图</w:t>
            </w:r>
            <w:r>
              <w:rPr>
                <w:u w:val="single"/>
              </w:rPr>
              <w:t>B.1</w:t>
            </w:r>
            <w:r>
              <w:rPr>
                <w:rFonts w:hint="eastAsia"/>
                <w:u w:val="single"/>
              </w:rPr>
              <w:t>a，</w:t>
            </w:r>
            <w:r>
              <w:rPr>
                <w:rFonts w:hint="eastAsia"/>
              </w:rPr>
              <w:t>线弹性</w:t>
            </w:r>
            <w:r>
              <w:t>刚度取支座的</w:t>
            </w:r>
            <w:r>
              <w:rPr>
                <w:rFonts w:hint="eastAsia"/>
              </w:rPr>
              <w:t>竖向</w:t>
            </w:r>
            <w:r>
              <w:t>受压刚度</w:t>
            </w:r>
            <w:r>
              <w:rPr>
                <w:rFonts w:hint="eastAsia"/>
              </w:rPr>
              <w:t>。</w:t>
            </w:r>
          </w:p>
        </w:tc>
      </w:tr>
      <w:tr w14:paraId="0AB7C5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3754CF69">
            <w:pPr>
              <w:pStyle w:val="70"/>
              <w:ind w:firstLine="0" w:firstLineChars="0"/>
              <w:rPr>
                <w:rFonts w:ascii="Times New Roman"/>
                <w:sz w:val="21"/>
                <w:szCs w:val="20"/>
              </w:rPr>
            </w:pPr>
            <w:r>
              <w:rPr>
                <w:rFonts w:ascii="Times New Roman"/>
                <w:sz w:val="21"/>
                <w:szCs w:val="20"/>
              </w:rPr>
              <w:t xml:space="preserve">B.3.2 </w:t>
            </w:r>
            <w:r>
              <w:rPr>
                <w:rFonts w:hint="eastAsia" w:ascii="Times New Roman"/>
                <w:sz w:val="21"/>
                <w:szCs w:val="20"/>
              </w:rPr>
              <w:t>竖向受拉力学模型</w:t>
            </w:r>
          </w:p>
          <w:p w14:paraId="4BA5B607">
            <w:pPr>
              <w:ind w:firstLine="420" w:firstLineChars="200"/>
              <w:jc w:val="left"/>
            </w:pPr>
            <w:r>
              <w:rPr>
                <w:rFonts w:hint="eastAsia"/>
              </w:rPr>
              <w:t>竖向受压力学</w:t>
            </w:r>
            <w:r>
              <w:t>模型采用线弹性</w:t>
            </w:r>
            <w:r>
              <w:rPr>
                <w:rFonts w:hint="eastAsia"/>
              </w:rPr>
              <w:t>模型</w:t>
            </w:r>
            <w:r>
              <w:t>，</w:t>
            </w:r>
            <w:r>
              <w:rPr>
                <w:rFonts w:hint="eastAsia"/>
              </w:rPr>
              <w:t>线弹性</w:t>
            </w:r>
            <w:r>
              <w:t>刚度取支座的</w:t>
            </w:r>
            <w:r>
              <w:rPr>
                <w:rFonts w:hint="eastAsia"/>
              </w:rPr>
              <w:t>竖向</w:t>
            </w:r>
            <w:r>
              <w:t>受</w:t>
            </w:r>
            <w:r>
              <w:rPr>
                <w:rFonts w:hint="eastAsia"/>
              </w:rPr>
              <w:t>拉</w:t>
            </w:r>
            <w:r>
              <w:t>刚度</w:t>
            </w:r>
            <w:r>
              <w:rPr>
                <w:rFonts w:hint="eastAsia"/>
              </w:rPr>
              <w:t>。</w:t>
            </w:r>
          </w:p>
        </w:tc>
        <w:tc>
          <w:tcPr>
            <w:tcW w:w="5126" w:type="dxa"/>
          </w:tcPr>
          <w:p w14:paraId="2F44FDF1">
            <w:pPr>
              <w:pStyle w:val="70"/>
              <w:ind w:firstLine="0" w:firstLineChars="0"/>
              <w:rPr>
                <w:rFonts w:ascii="Times New Roman"/>
                <w:sz w:val="21"/>
                <w:szCs w:val="20"/>
              </w:rPr>
            </w:pPr>
            <w:r>
              <w:rPr>
                <w:rFonts w:ascii="Times New Roman"/>
                <w:sz w:val="21"/>
                <w:szCs w:val="20"/>
              </w:rPr>
              <w:t xml:space="preserve">B.3.2 </w:t>
            </w:r>
            <w:r>
              <w:rPr>
                <w:rFonts w:hint="eastAsia" w:ascii="Times New Roman"/>
                <w:sz w:val="21"/>
                <w:szCs w:val="20"/>
              </w:rPr>
              <w:t>竖向受拉力学模型</w:t>
            </w:r>
          </w:p>
          <w:p w14:paraId="04CEC066">
            <w:pPr>
              <w:ind w:firstLine="420" w:firstLineChars="200"/>
              <w:rPr>
                <w:sz w:val="18"/>
                <w:szCs w:val="18"/>
              </w:rPr>
            </w:pPr>
            <w:r>
              <w:rPr>
                <w:rFonts w:hint="eastAsia"/>
              </w:rPr>
              <w:t>竖向受压力学</w:t>
            </w:r>
            <w:r>
              <w:t>模型采用线弹性</w:t>
            </w:r>
            <w:r>
              <w:rPr>
                <w:rFonts w:hint="eastAsia"/>
              </w:rPr>
              <w:t>模型</w:t>
            </w:r>
            <w:r>
              <w:t>，</w:t>
            </w:r>
            <w:r>
              <w:rPr>
                <w:rFonts w:hint="eastAsia"/>
                <w:u w:val="single"/>
              </w:rPr>
              <w:t>见图</w:t>
            </w:r>
            <w:r>
              <w:rPr>
                <w:u w:val="single"/>
              </w:rPr>
              <w:t>B.1</w:t>
            </w:r>
            <w:r>
              <w:rPr>
                <w:rFonts w:hint="eastAsia"/>
                <w:u w:val="single"/>
              </w:rPr>
              <w:t>a，</w:t>
            </w:r>
            <w:r>
              <w:rPr>
                <w:rFonts w:hint="eastAsia"/>
              </w:rPr>
              <w:t>线弹性</w:t>
            </w:r>
            <w:r>
              <w:t>刚度取支座的</w:t>
            </w:r>
            <w:r>
              <w:rPr>
                <w:rFonts w:hint="eastAsia"/>
              </w:rPr>
              <w:t>竖向</w:t>
            </w:r>
            <w:r>
              <w:t>受</w:t>
            </w:r>
            <w:r>
              <w:rPr>
                <w:rFonts w:hint="eastAsia"/>
              </w:rPr>
              <w:t>拉</w:t>
            </w:r>
            <w:r>
              <w:t>刚度</w:t>
            </w:r>
            <w:r>
              <w:rPr>
                <w:rFonts w:hint="eastAsia"/>
              </w:rPr>
              <w:t>。</w:t>
            </w:r>
          </w:p>
        </w:tc>
      </w:tr>
      <w:tr w14:paraId="2ED2ED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tcPr>
          <w:p w14:paraId="4715F014">
            <w:pPr>
              <w:pStyle w:val="70"/>
              <w:ind w:firstLine="0" w:firstLineChars="0"/>
              <w:rPr>
                <w:rFonts w:ascii="Times New Roman"/>
                <w:sz w:val="21"/>
                <w:szCs w:val="20"/>
              </w:rPr>
            </w:pPr>
            <w:r>
              <w:rPr>
                <w:rFonts w:ascii="Times New Roman"/>
                <w:sz w:val="21"/>
                <w:szCs w:val="20"/>
              </w:rPr>
              <w:t xml:space="preserve">B.3.3 </w:t>
            </w:r>
            <w:r>
              <w:rPr>
                <w:rFonts w:hint="eastAsia" w:ascii="Times New Roman"/>
                <w:sz w:val="21"/>
                <w:szCs w:val="20"/>
              </w:rPr>
              <w:t>水平</w:t>
            </w:r>
            <w:r>
              <w:rPr>
                <w:rFonts w:ascii="Times New Roman"/>
                <w:sz w:val="21"/>
                <w:szCs w:val="20"/>
              </w:rPr>
              <w:t>向</w:t>
            </w:r>
            <w:r>
              <w:rPr>
                <w:rFonts w:hint="eastAsia" w:ascii="Times New Roman"/>
                <w:sz w:val="21"/>
                <w:szCs w:val="20"/>
              </w:rPr>
              <w:t>力学</w:t>
            </w:r>
            <w:r>
              <w:rPr>
                <w:rFonts w:ascii="Times New Roman"/>
                <w:sz w:val="21"/>
                <w:szCs w:val="20"/>
              </w:rPr>
              <w:t>模型</w:t>
            </w:r>
          </w:p>
          <w:p w14:paraId="2FA7F6F9">
            <w:pPr>
              <w:ind w:firstLine="420" w:firstLineChars="200"/>
            </w:pPr>
            <w:r>
              <w:rPr>
                <w:rFonts w:hint="eastAsia"/>
              </w:rPr>
              <w:t>水平</w:t>
            </w:r>
            <w:r>
              <w:t>向</w:t>
            </w:r>
            <w:r>
              <w:rPr>
                <w:rFonts w:hint="eastAsia"/>
              </w:rPr>
              <w:t>力学</w:t>
            </w:r>
            <w:r>
              <w:t>模型采用线弹性</w:t>
            </w:r>
            <w:r>
              <w:rPr>
                <w:rFonts w:hint="eastAsia"/>
              </w:rPr>
              <w:t>模型见图</w:t>
            </w:r>
            <w:r>
              <w:t>B.1，</w:t>
            </w:r>
            <w:r>
              <w:rPr>
                <w:rFonts w:hint="eastAsia"/>
              </w:rPr>
              <w:t>线弹性</w:t>
            </w:r>
            <w:r>
              <w:t>刚度取支座的</w:t>
            </w:r>
            <w:r>
              <w:rPr>
                <w:rFonts w:hint="eastAsia"/>
              </w:rPr>
              <w:t>水平等效</w:t>
            </w:r>
            <w:r>
              <w:t>刚度</w:t>
            </w:r>
            <w:r>
              <w:rPr>
                <w:rFonts w:hint="eastAsia"/>
              </w:rPr>
              <w:t>。</w:t>
            </w:r>
          </w:p>
          <w:p w14:paraId="59BA81C7">
            <w:pPr>
              <w:ind w:firstLine="420" w:firstLineChars="200"/>
            </w:pPr>
            <w:r>
              <w:drawing>
                <wp:inline distT="0" distB="0" distL="114300" distR="114300">
                  <wp:extent cx="2693670" cy="1156335"/>
                  <wp:effectExtent l="0" t="0" r="11430" b="5715"/>
                  <wp:docPr id="6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7"/>
                          <pic:cNvPicPr>
                            <a:picLocks noChangeAspect="1"/>
                          </pic:cNvPicPr>
                        </pic:nvPicPr>
                        <pic:blipFill>
                          <a:blip r:embed="rId42"/>
                          <a:stretch>
                            <a:fillRect/>
                          </a:stretch>
                        </pic:blipFill>
                        <pic:spPr>
                          <a:xfrm>
                            <a:off x="0" y="0"/>
                            <a:ext cx="2693670" cy="1156335"/>
                          </a:xfrm>
                          <a:prstGeom prst="rect">
                            <a:avLst/>
                          </a:prstGeom>
                          <a:noFill/>
                          <a:ln>
                            <a:noFill/>
                          </a:ln>
                        </pic:spPr>
                      </pic:pic>
                    </a:graphicData>
                  </a:graphic>
                </wp:inline>
              </w:drawing>
            </w:r>
          </w:p>
          <w:p w14:paraId="63118888">
            <w:pPr>
              <w:ind w:firstLine="420" w:firstLineChars="200"/>
            </w:pPr>
            <w:r>
              <w:rPr>
                <w:rFonts w:hint="eastAsia" w:ascii="黑体" w:hAnsi="黑体" w:eastAsia="黑体"/>
              </w:rPr>
              <w:t>图B.1 天然橡胶支座计算模型</w:t>
            </w:r>
          </w:p>
        </w:tc>
        <w:tc>
          <w:tcPr>
            <w:tcW w:w="5126" w:type="dxa"/>
          </w:tcPr>
          <w:p w14:paraId="32AFB00F">
            <w:pPr>
              <w:pStyle w:val="70"/>
              <w:ind w:firstLine="0" w:firstLineChars="0"/>
              <w:rPr>
                <w:rFonts w:ascii="Times New Roman"/>
                <w:sz w:val="21"/>
                <w:szCs w:val="20"/>
              </w:rPr>
            </w:pPr>
            <w:r>
              <w:rPr>
                <w:rFonts w:ascii="Times New Roman"/>
                <w:sz w:val="21"/>
                <w:szCs w:val="20"/>
              </w:rPr>
              <w:t xml:space="preserve">B.3.3 </w:t>
            </w:r>
            <w:r>
              <w:rPr>
                <w:rFonts w:hint="eastAsia" w:ascii="Times New Roman"/>
                <w:sz w:val="21"/>
                <w:szCs w:val="20"/>
              </w:rPr>
              <w:t>水平</w:t>
            </w:r>
            <w:r>
              <w:rPr>
                <w:rFonts w:ascii="Times New Roman"/>
                <w:sz w:val="21"/>
                <w:szCs w:val="20"/>
              </w:rPr>
              <w:t>向</w:t>
            </w:r>
            <w:r>
              <w:rPr>
                <w:rFonts w:hint="eastAsia" w:ascii="Times New Roman"/>
                <w:sz w:val="21"/>
                <w:szCs w:val="20"/>
              </w:rPr>
              <w:t>力学</w:t>
            </w:r>
            <w:r>
              <w:rPr>
                <w:rFonts w:ascii="Times New Roman"/>
                <w:sz w:val="21"/>
                <w:szCs w:val="20"/>
              </w:rPr>
              <w:t>模型</w:t>
            </w:r>
          </w:p>
          <w:p w14:paraId="19020372">
            <w:pPr>
              <w:ind w:firstLine="420" w:firstLineChars="200"/>
              <w:rPr>
                <w:sz w:val="18"/>
                <w:szCs w:val="18"/>
              </w:rPr>
            </w:pPr>
            <w:r>
              <w:rPr>
                <w:rFonts w:hint="eastAsia"/>
              </w:rPr>
              <w:t>水平</w:t>
            </w:r>
            <w:r>
              <w:t>向</w:t>
            </w:r>
            <w:r>
              <w:rPr>
                <w:rFonts w:hint="eastAsia"/>
              </w:rPr>
              <w:t>力学</w:t>
            </w:r>
            <w:r>
              <w:t>模型采用线弹性</w:t>
            </w:r>
            <w:r>
              <w:rPr>
                <w:rFonts w:hint="eastAsia"/>
              </w:rPr>
              <w:t>模型</w:t>
            </w:r>
            <w:r>
              <w:rPr>
                <w:rFonts w:hint="eastAsia"/>
                <w:u w:val="single"/>
              </w:rPr>
              <w:t>，</w:t>
            </w:r>
            <w:r>
              <w:rPr>
                <w:rFonts w:hint="eastAsia"/>
              </w:rPr>
              <w:t>见图</w:t>
            </w:r>
            <w:r>
              <w:t>B.1</w:t>
            </w:r>
            <w:r>
              <w:rPr>
                <w:rFonts w:hint="eastAsia"/>
                <w:u w:val="single"/>
              </w:rPr>
              <w:t>b</w:t>
            </w:r>
            <w:r>
              <w:t>，</w:t>
            </w:r>
            <w:r>
              <w:rPr>
                <w:rFonts w:hint="eastAsia"/>
              </w:rPr>
              <w:t>线弹性</w:t>
            </w:r>
            <w:r>
              <w:t>刚度取支座的</w:t>
            </w:r>
            <w:r>
              <w:rPr>
                <w:rFonts w:hint="eastAsia"/>
              </w:rPr>
              <w:t>水平等效</w:t>
            </w:r>
            <w:r>
              <w:t>刚度</w:t>
            </w:r>
            <w:r>
              <w:rPr>
                <w:rFonts w:hint="eastAsia"/>
              </w:rPr>
              <w:t>。</w:t>
            </w:r>
          </w:p>
          <w:p w14:paraId="7D4AF7A3">
            <w:pPr>
              <w:rPr>
                <w:sz w:val="18"/>
                <w:szCs w:val="18"/>
              </w:rPr>
            </w:pPr>
            <w:r>
              <w:rPr>
                <w:sz w:val="18"/>
                <w:szCs w:val="18"/>
              </w:rPr>
              <w:drawing>
                <wp:inline distT="0" distB="0" distL="114300" distR="114300">
                  <wp:extent cx="3116580" cy="1359535"/>
                  <wp:effectExtent l="0" t="0" r="7620" b="12065"/>
                  <wp:docPr id="69"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88"/>
                          <pic:cNvPicPr>
                            <a:picLocks noChangeAspect="1"/>
                          </pic:cNvPicPr>
                        </pic:nvPicPr>
                        <pic:blipFill>
                          <a:blip r:embed="rId43"/>
                          <a:stretch>
                            <a:fillRect/>
                          </a:stretch>
                        </pic:blipFill>
                        <pic:spPr>
                          <a:xfrm>
                            <a:off x="0" y="0"/>
                            <a:ext cx="3116580" cy="1359535"/>
                          </a:xfrm>
                          <a:prstGeom prst="rect">
                            <a:avLst/>
                          </a:prstGeom>
                          <a:noFill/>
                          <a:ln>
                            <a:noFill/>
                          </a:ln>
                        </pic:spPr>
                      </pic:pic>
                    </a:graphicData>
                  </a:graphic>
                </wp:inline>
              </w:drawing>
            </w:r>
          </w:p>
          <w:p w14:paraId="400B3681">
            <w:pPr>
              <w:jc w:val="center"/>
              <w:rPr>
                <w:rFonts w:hint="eastAsia" w:ascii="黑体" w:hAnsi="黑体" w:eastAsia="黑体"/>
                <w:sz w:val="18"/>
                <w:szCs w:val="18"/>
              </w:rPr>
            </w:pPr>
            <w:r>
              <w:rPr>
                <w:rFonts w:hint="eastAsia" w:ascii="黑体" w:hAnsi="黑体" w:eastAsia="黑体"/>
                <w:sz w:val="18"/>
                <w:szCs w:val="18"/>
              </w:rPr>
              <w:t>图B.1 天然橡胶支座</w:t>
            </w:r>
            <w:r>
              <w:rPr>
                <w:rFonts w:hint="eastAsia" w:ascii="黑体" w:hAnsi="黑体" w:eastAsia="黑体"/>
                <w:sz w:val="18"/>
                <w:szCs w:val="18"/>
                <w:bdr w:val="single" w:color="auto" w:sz="4" w:space="0"/>
              </w:rPr>
              <w:t>计算</w:t>
            </w:r>
            <w:r>
              <w:rPr>
                <w:rFonts w:hint="eastAsia" w:ascii="黑体" w:hAnsi="黑体" w:eastAsia="黑体"/>
                <w:sz w:val="18"/>
                <w:szCs w:val="18"/>
                <w:u w:val="single"/>
              </w:rPr>
              <w:t>力学</w:t>
            </w:r>
            <w:r>
              <w:rPr>
                <w:rFonts w:hint="eastAsia" w:ascii="黑体" w:hAnsi="黑体" w:eastAsia="黑体"/>
                <w:sz w:val="18"/>
                <w:szCs w:val="18"/>
              </w:rPr>
              <w:t>模型</w:t>
            </w:r>
          </w:p>
          <w:p w14:paraId="0936CA4F">
            <w:pPr>
              <w:pStyle w:val="70"/>
              <w:snapToGrid w:val="0"/>
              <w:spacing w:line="360" w:lineRule="auto"/>
              <w:ind w:firstLine="360"/>
              <w:rPr>
                <w:rFonts w:ascii="Times New Roman"/>
                <w:sz w:val="18"/>
                <w:szCs w:val="18"/>
                <w:u w:val="single"/>
              </w:rPr>
            </w:pPr>
            <w:r>
              <w:rPr>
                <w:rFonts w:hint="eastAsia" w:ascii="Times New Roman"/>
                <w:sz w:val="18"/>
                <w:szCs w:val="18"/>
                <w:u w:val="single"/>
              </w:rPr>
              <w:t>图中：</w:t>
            </w:r>
          </w:p>
          <w:p w14:paraId="15FBEB34">
            <w:pPr>
              <w:pStyle w:val="70"/>
              <w:snapToGrid w:val="0"/>
              <w:spacing w:line="360" w:lineRule="auto"/>
              <w:ind w:firstLine="360"/>
              <w:rPr>
                <w:rFonts w:ascii="Times New Roman"/>
                <w:sz w:val="18"/>
                <w:szCs w:val="18"/>
                <w:u w:val="single"/>
              </w:rPr>
            </w:pPr>
            <w:r>
              <w:rPr>
                <w:rFonts w:ascii="Times New Roman"/>
                <w:position w:val="-12"/>
                <w:sz w:val="18"/>
                <w:szCs w:val="18"/>
                <w:u w:val="single"/>
              </w:rPr>
              <w:object>
                <v:shape id="_x0000_i1026" o:spt="75" type="#_x0000_t75" style="height:18pt;width:17.5pt;" o:ole="t" filled="f" o:preferrelative="t" stroked="f" coordsize="21600,21600">
                  <v:path/>
                  <v:fill on="f" focussize="0,0"/>
                  <v:stroke on="f" joinstyle="miter"/>
                  <v:imagedata r:id="rId45" o:title=""/>
                  <o:lock v:ext="edit" aspectratio="t"/>
                  <w10:wrap type="none"/>
                  <w10:anchorlock/>
                </v:shape>
                <o:OLEObject Type="Embed" ProgID="Equation.DSMT4" ShapeID="_x0000_i1026" DrawAspect="Content" ObjectID="_1468075725" r:id="rId44">
                  <o:LockedField>false</o:LockedField>
                </o:OLEObject>
              </w:object>
            </w:r>
            <w:r>
              <w:rPr>
                <w:rFonts w:hint="eastAsia" w:ascii="Times New Roman"/>
                <w:sz w:val="18"/>
                <w:szCs w:val="18"/>
                <w:u w:val="single"/>
              </w:rPr>
              <w:t>——建筑隔震橡胶支座竖向受压刚度；</w:t>
            </w:r>
          </w:p>
          <w:p w14:paraId="7C7AEDB3">
            <w:pPr>
              <w:pStyle w:val="70"/>
              <w:snapToGrid w:val="0"/>
              <w:spacing w:line="360" w:lineRule="auto"/>
              <w:ind w:firstLine="360"/>
              <w:rPr>
                <w:rFonts w:ascii="Times New Roman"/>
                <w:sz w:val="18"/>
                <w:szCs w:val="18"/>
                <w:u w:val="single"/>
              </w:rPr>
            </w:pPr>
            <w:r>
              <w:rPr>
                <w:rFonts w:ascii="Times New Roman"/>
                <w:position w:val="-12"/>
                <w:sz w:val="18"/>
                <w:szCs w:val="18"/>
                <w:u w:val="single"/>
              </w:rPr>
              <w:object>
                <v:shape id="_x0000_i1027" o:spt="75" type="#_x0000_t75" style="height:19.5pt;width:17.5pt;" o:ole="t" filled="f" o:preferrelative="t" stroked="f" coordsize="21600,21600">
                  <v:path/>
                  <v:fill on="f" focussize="0,0"/>
                  <v:stroke on="f" joinstyle="miter"/>
                  <v:imagedata r:id="rId47" o:title=""/>
                  <o:lock v:ext="edit" aspectratio="t"/>
                  <w10:wrap type="none"/>
                  <w10:anchorlock/>
                </v:shape>
                <o:OLEObject Type="Embed" ProgID="Equation.DSMT4" ShapeID="_x0000_i1027" DrawAspect="Content" ObjectID="_1468075726" r:id="rId46">
                  <o:LockedField>false</o:LockedField>
                </o:OLEObject>
              </w:object>
            </w:r>
            <w:r>
              <w:rPr>
                <w:rFonts w:hint="eastAsia" w:ascii="Times New Roman"/>
                <w:sz w:val="18"/>
                <w:szCs w:val="18"/>
                <w:u w:val="single"/>
              </w:rPr>
              <w:t>——建筑隔震橡胶支座竖向受拉刚度；</w:t>
            </w:r>
          </w:p>
          <w:p w14:paraId="12FDD4A1">
            <w:pPr>
              <w:jc w:val="center"/>
              <w:rPr>
                <w:rFonts w:hint="eastAsia" w:ascii="黑体" w:hAnsi="黑体" w:eastAsia="黑体"/>
                <w:sz w:val="18"/>
                <w:szCs w:val="18"/>
              </w:rPr>
            </w:pPr>
            <w:r>
              <w:rPr>
                <w:position w:val="-12"/>
                <w:sz w:val="18"/>
                <w:szCs w:val="18"/>
                <w:u w:val="single"/>
              </w:rPr>
              <w:object>
                <v:shape id="_x0000_i1028" o:spt="75" type="#_x0000_t75" style="height:18pt;width:17.5pt;" o:ole="t" filled="f" o:preferrelative="t" stroked="f" coordsize="21600,21600">
                  <v:path/>
                  <v:fill on="f" focussize="0,0"/>
                  <v:stroke on="f" joinstyle="miter"/>
                  <v:imagedata r:id="rId49" o:title=""/>
                  <o:lock v:ext="edit" aspectratio="t"/>
                  <w10:wrap type="none"/>
                  <w10:anchorlock/>
                </v:shape>
                <o:OLEObject Type="Embed" ProgID="Equation.DSMT4" ShapeID="_x0000_i1028" DrawAspect="Content" ObjectID="_1468075727" r:id="rId48">
                  <o:LockedField>false</o:LockedField>
                </o:OLEObject>
              </w:object>
            </w:r>
            <w:r>
              <w:rPr>
                <w:rFonts w:hint="eastAsia"/>
                <w:sz w:val="18"/>
                <w:szCs w:val="18"/>
                <w:u w:val="single"/>
              </w:rPr>
              <w:t>——建筑隔震橡胶支座水平等效刚度。</w:t>
            </w:r>
          </w:p>
        </w:tc>
      </w:tr>
      <w:tr w14:paraId="319CED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tcPr>
          <w:p w14:paraId="6CFB4AA3">
            <w:pPr>
              <w:pStyle w:val="70"/>
              <w:spacing w:line="600" w:lineRule="auto"/>
              <w:ind w:firstLine="0" w:firstLineChars="0"/>
              <w:rPr>
                <w:rFonts w:hint="eastAsia" w:ascii="黑体" w:hAnsi="黑体" w:eastAsia="黑体"/>
                <w:sz w:val="21"/>
                <w:szCs w:val="20"/>
              </w:rPr>
            </w:pPr>
            <w:r>
              <w:rPr>
                <w:rFonts w:ascii="黑体" w:hAnsi="黑体" w:eastAsia="黑体" w:cs="黑体"/>
                <w:sz w:val="21"/>
                <w:szCs w:val="20"/>
              </w:rPr>
              <w:t>B</w:t>
            </w:r>
            <w:r>
              <w:rPr>
                <w:rFonts w:ascii="黑体" w:eastAsia="黑体" w:cs="黑体"/>
                <w:sz w:val="21"/>
                <w:szCs w:val="20"/>
              </w:rPr>
              <w:t>.</w:t>
            </w:r>
            <w:r>
              <w:rPr>
                <w:rFonts w:ascii="黑体" w:hAnsi="黑体" w:eastAsia="黑体" w:cs="黑体"/>
                <w:sz w:val="21"/>
                <w:szCs w:val="20"/>
              </w:rPr>
              <w:t xml:space="preserve">4   </w:t>
            </w:r>
            <w:r>
              <w:rPr>
                <w:rFonts w:hint="eastAsia" w:ascii="黑体" w:hAnsi="黑体" w:eastAsia="黑体" w:cs="黑体"/>
                <w:sz w:val="21"/>
                <w:szCs w:val="20"/>
              </w:rPr>
              <w:t>铅芯橡胶支座的</w:t>
            </w:r>
            <w:r>
              <w:rPr>
                <w:rFonts w:ascii="黑体" w:hAnsi="黑体" w:eastAsia="黑体" w:cs="黑体"/>
                <w:sz w:val="21"/>
                <w:szCs w:val="20"/>
              </w:rPr>
              <w:t>力学模型</w:t>
            </w:r>
          </w:p>
          <w:p w14:paraId="7F6B40E1">
            <w:pPr>
              <w:pStyle w:val="70"/>
              <w:ind w:firstLine="0" w:firstLineChars="0"/>
              <w:rPr>
                <w:rFonts w:ascii="Times New Roman"/>
                <w:sz w:val="21"/>
                <w:szCs w:val="20"/>
              </w:rPr>
            </w:pPr>
            <w:r>
              <w:rPr>
                <w:rFonts w:ascii="Times New Roman"/>
                <w:sz w:val="21"/>
                <w:szCs w:val="20"/>
              </w:rPr>
              <w:t xml:space="preserve">B.4.1 </w:t>
            </w:r>
            <w:r>
              <w:rPr>
                <w:rFonts w:hint="eastAsia" w:ascii="Times New Roman"/>
                <w:sz w:val="21"/>
                <w:szCs w:val="20"/>
              </w:rPr>
              <w:t>竖向</w:t>
            </w:r>
            <w:r>
              <w:rPr>
                <w:rFonts w:ascii="Times New Roman"/>
                <w:sz w:val="21"/>
                <w:szCs w:val="20"/>
              </w:rPr>
              <w:t>受压</w:t>
            </w:r>
            <w:r>
              <w:rPr>
                <w:rFonts w:hint="eastAsia" w:ascii="Times New Roman"/>
                <w:sz w:val="21"/>
                <w:szCs w:val="20"/>
              </w:rPr>
              <w:t>力学</w:t>
            </w:r>
            <w:r>
              <w:rPr>
                <w:rFonts w:ascii="Times New Roman"/>
                <w:sz w:val="21"/>
                <w:szCs w:val="20"/>
              </w:rPr>
              <w:t>模型</w:t>
            </w:r>
          </w:p>
          <w:p w14:paraId="50A4E6B5">
            <w:pPr>
              <w:pStyle w:val="70"/>
              <w:ind w:firstLine="420"/>
              <w:rPr>
                <w:rFonts w:ascii="Times New Roman"/>
                <w:sz w:val="21"/>
                <w:szCs w:val="20"/>
              </w:rPr>
            </w:pPr>
            <w:r>
              <w:rPr>
                <w:rFonts w:hint="eastAsia" w:ascii="Times New Roman"/>
                <w:sz w:val="21"/>
                <w:szCs w:val="20"/>
              </w:rPr>
              <w:t>竖向受压力学</w:t>
            </w:r>
            <w:r>
              <w:rPr>
                <w:rFonts w:ascii="Times New Roman"/>
                <w:sz w:val="21"/>
                <w:szCs w:val="20"/>
              </w:rPr>
              <w:t>模型采用线弹性</w:t>
            </w:r>
            <w:r>
              <w:rPr>
                <w:rFonts w:hint="eastAsia" w:ascii="Times New Roman"/>
                <w:sz w:val="21"/>
                <w:szCs w:val="20"/>
              </w:rPr>
              <w:t>模型</w:t>
            </w:r>
            <w:r>
              <w:rPr>
                <w:rFonts w:ascii="Times New Roman"/>
                <w:sz w:val="21"/>
                <w:szCs w:val="20"/>
              </w:rPr>
              <w:t>，</w:t>
            </w:r>
            <w:r>
              <w:rPr>
                <w:rFonts w:hint="eastAsia" w:ascii="Times New Roman"/>
                <w:sz w:val="21"/>
                <w:szCs w:val="20"/>
              </w:rPr>
              <w:t>线弹性</w:t>
            </w:r>
            <w:r>
              <w:rPr>
                <w:rFonts w:ascii="Times New Roman"/>
                <w:sz w:val="21"/>
                <w:szCs w:val="20"/>
              </w:rPr>
              <w:t>刚度取支座的</w:t>
            </w:r>
            <w:r>
              <w:rPr>
                <w:rFonts w:hint="eastAsia" w:ascii="Times New Roman"/>
                <w:sz w:val="21"/>
                <w:szCs w:val="20"/>
              </w:rPr>
              <w:t>竖向</w:t>
            </w:r>
            <w:r>
              <w:rPr>
                <w:rFonts w:ascii="Times New Roman"/>
                <w:sz w:val="21"/>
                <w:szCs w:val="20"/>
              </w:rPr>
              <w:t>受压刚度</w:t>
            </w:r>
            <w:r>
              <w:rPr>
                <w:rFonts w:hint="eastAsia" w:ascii="Times New Roman"/>
                <w:sz w:val="21"/>
                <w:szCs w:val="20"/>
              </w:rPr>
              <w:t>。</w:t>
            </w:r>
          </w:p>
          <w:p w14:paraId="6133880A">
            <w:pPr>
              <w:pStyle w:val="70"/>
              <w:ind w:firstLine="0" w:firstLineChars="0"/>
              <w:rPr>
                <w:rFonts w:ascii="Times New Roman"/>
                <w:sz w:val="21"/>
                <w:szCs w:val="20"/>
              </w:rPr>
            </w:pPr>
            <w:r>
              <w:rPr>
                <w:rFonts w:ascii="Times New Roman"/>
                <w:sz w:val="21"/>
                <w:szCs w:val="20"/>
              </w:rPr>
              <w:t xml:space="preserve">B.4.2 </w:t>
            </w:r>
            <w:r>
              <w:rPr>
                <w:rFonts w:hint="eastAsia" w:ascii="Times New Roman"/>
                <w:sz w:val="21"/>
                <w:szCs w:val="20"/>
              </w:rPr>
              <w:t>竖向受拉力学模型</w:t>
            </w:r>
          </w:p>
          <w:p w14:paraId="10F6E31E">
            <w:pPr>
              <w:pStyle w:val="70"/>
              <w:ind w:firstLine="420"/>
              <w:rPr>
                <w:rFonts w:ascii="Times New Roman"/>
                <w:sz w:val="21"/>
                <w:szCs w:val="20"/>
              </w:rPr>
            </w:pPr>
            <w:r>
              <w:rPr>
                <w:rFonts w:hint="eastAsia" w:ascii="Times New Roman"/>
                <w:sz w:val="21"/>
                <w:szCs w:val="20"/>
              </w:rPr>
              <w:t>竖向受压力学</w:t>
            </w:r>
            <w:r>
              <w:rPr>
                <w:rFonts w:ascii="Times New Roman"/>
                <w:sz w:val="21"/>
                <w:szCs w:val="20"/>
              </w:rPr>
              <w:t>模型采用线弹性</w:t>
            </w:r>
            <w:r>
              <w:rPr>
                <w:rFonts w:hint="eastAsia" w:ascii="Times New Roman"/>
                <w:sz w:val="21"/>
                <w:szCs w:val="20"/>
              </w:rPr>
              <w:t>模型</w:t>
            </w:r>
            <w:r>
              <w:rPr>
                <w:rFonts w:ascii="Times New Roman"/>
                <w:sz w:val="21"/>
                <w:szCs w:val="20"/>
              </w:rPr>
              <w:t>，</w:t>
            </w:r>
            <w:r>
              <w:rPr>
                <w:rFonts w:hint="eastAsia" w:ascii="Times New Roman"/>
                <w:sz w:val="21"/>
                <w:szCs w:val="20"/>
              </w:rPr>
              <w:t>线弹性</w:t>
            </w:r>
            <w:r>
              <w:rPr>
                <w:rFonts w:ascii="Times New Roman"/>
                <w:sz w:val="21"/>
                <w:szCs w:val="20"/>
              </w:rPr>
              <w:t>刚度取支座</w:t>
            </w:r>
            <w:r>
              <w:rPr>
                <w:rFonts w:hint="eastAsia" w:ascii="Times New Roman"/>
                <w:sz w:val="21"/>
                <w:szCs w:val="20"/>
              </w:rPr>
              <w:t>弹性</w:t>
            </w:r>
            <w:r>
              <w:rPr>
                <w:rFonts w:ascii="Times New Roman"/>
                <w:sz w:val="21"/>
                <w:szCs w:val="20"/>
              </w:rPr>
              <w:t>受拉阶段的受</w:t>
            </w:r>
            <w:r>
              <w:rPr>
                <w:rFonts w:hint="eastAsia" w:ascii="Times New Roman"/>
                <w:sz w:val="21"/>
                <w:szCs w:val="20"/>
              </w:rPr>
              <w:t>拉</w:t>
            </w:r>
            <w:r>
              <w:rPr>
                <w:rFonts w:ascii="Times New Roman"/>
                <w:sz w:val="21"/>
                <w:szCs w:val="20"/>
              </w:rPr>
              <w:t>刚度</w:t>
            </w:r>
            <w:r>
              <w:rPr>
                <w:rFonts w:hint="eastAsia" w:ascii="Times New Roman"/>
                <w:sz w:val="21"/>
                <w:szCs w:val="20"/>
              </w:rPr>
              <w:t>。</w:t>
            </w:r>
          </w:p>
          <w:p w14:paraId="6A73B68F">
            <w:pPr>
              <w:pStyle w:val="70"/>
              <w:ind w:firstLine="0" w:firstLineChars="0"/>
              <w:rPr>
                <w:rFonts w:ascii="Times New Roman"/>
                <w:sz w:val="21"/>
                <w:szCs w:val="20"/>
              </w:rPr>
            </w:pPr>
            <w:r>
              <w:rPr>
                <w:rFonts w:ascii="Times New Roman"/>
                <w:sz w:val="21"/>
                <w:szCs w:val="20"/>
              </w:rPr>
              <w:t xml:space="preserve">B.4.3 </w:t>
            </w:r>
            <w:r>
              <w:rPr>
                <w:rFonts w:hint="eastAsia" w:ascii="Times New Roman"/>
                <w:sz w:val="21"/>
                <w:szCs w:val="20"/>
              </w:rPr>
              <w:t>水平</w:t>
            </w:r>
            <w:r>
              <w:rPr>
                <w:rFonts w:ascii="Times New Roman"/>
                <w:sz w:val="21"/>
                <w:szCs w:val="20"/>
              </w:rPr>
              <w:t>向</w:t>
            </w:r>
            <w:r>
              <w:rPr>
                <w:rFonts w:hint="eastAsia" w:ascii="Times New Roman"/>
                <w:sz w:val="21"/>
                <w:szCs w:val="20"/>
              </w:rPr>
              <w:t>力学</w:t>
            </w:r>
            <w:r>
              <w:rPr>
                <w:rFonts w:ascii="Times New Roman"/>
                <w:sz w:val="21"/>
                <w:szCs w:val="20"/>
              </w:rPr>
              <w:t>模型</w:t>
            </w:r>
          </w:p>
          <w:p w14:paraId="742F82C8">
            <w:pPr>
              <w:ind w:firstLine="360" w:firstLineChars="200"/>
              <w:rPr>
                <w:sz w:val="18"/>
                <w:szCs w:val="18"/>
              </w:rPr>
            </w:pPr>
            <w:r>
              <w:rPr>
                <w:rFonts w:hint="eastAsia"/>
                <w:sz w:val="18"/>
                <w:szCs w:val="18"/>
              </w:rPr>
              <w:t>水平向力学</w:t>
            </w:r>
            <w:r>
              <w:rPr>
                <w:sz w:val="18"/>
                <w:szCs w:val="18"/>
              </w:rPr>
              <w:t>模型采用</w:t>
            </w:r>
            <w:r>
              <w:rPr>
                <w:rFonts w:hint="eastAsia"/>
                <w:sz w:val="18"/>
                <w:szCs w:val="18"/>
              </w:rPr>
              <w:t>双</w:t>
            </w:r>
            <w:r>
              <w:rPr>
                <w:sz w:val="18"/>
                <w:szCs w:val="18"/>
              </w:rPr>
              <w:t>线性</w:t>
            </w:r>
            <w:r>
              <w:rPr>
                <w:rFonts w:hint="eastAsia"/>
                <w:sz w:val="18"/>
                <w:szCs w:val="18"/>
              </w:rPr>
              <w:t>模型见图</w:t>
            </w:r>
            <w:r>
              <w:rPr>
                <w:sz w:val="18"/>
                <w:szCs w:val="18"/>
              </w:rPr>
              <w:t>B.2，</w:t>
            </w:r>
            <w:r>
              <w:rPr>
                <w:rFonts w:hint="eastAsia"/>
                <w:sz w:val="18"/>
                <w:szCs w:val="18"/>
              </w:rPr>
              <w:t>恢复力</w:t>
            </w:r>
            <w:r>
              <w:rPr>
                <w:sz w:val="18"/>
                <w:szCs w:val="18"/>
              </w:rPr>
              <w:t>曲线的大小和形状由屈服力，屈服前</w:t>
            </w:r>
            <w:r>
              <w:rPr>
                <w:rFonts w:hint="eastAsia"/>
                <w:sz w:val="18"/>
                <w:szCs w:val="18"/>
              </w:rPr>
              <w:t>水平</w:t>
            </w:r>
            <w:r>
              <w:rPr>
                <w:sz w:val="18"/>
                <w:szCs w:val="18"/>
              </w:rPr>
              <w:t>刚度和屈服后</w:t>
            </w:r>
            <w:r>
              <w:rPr>
                <w:rFonts w:hint="eastAsia"/>
                <w:sz w:val="18"/>
                <w:szCs w:val="18"/>
              </w:rPr>
              <w:t>水平</w:t>
            </w:r>
            <w:r>
              <w:rPr>
                <w:sz w:val="18"/>
                <w:szCs w:val="18"/>
              </w:rPr>
              <w:t>刚度</w:t>
            </w:r>
            <w:r>
              <w:rPr>
                <w:rFonts w:hint="eastAsia"/>
                <w:sz w:val="18"/>
                <w:szCs w:val="18"/>
              </w:rPr>
              <w:t>确定。</w:t>
            </w:r>
          </w:p>
          <w:p w14:paraId="5DB93601">
            <w:pPr>
              <w:ind w:firstLine="420" w:firstLineChars="200"/>
            </w:pPr>
            <w:r>
              <w:drawing>
                <wp:inline distT="0" distB="0" distL="114300" distR="114300">
                  <wp:extent cx="2707640" cy="859155"/>
                  <wp:effectExtent l="0" t="0" r="16510" b="17145"/>
                  <wp:docPr id="7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92"/>
                          <pic:cNvPicPr>
                            <a:picLocks noChangeAspect="1"/>
                          </pic:cNvPicPr>
                        </pic:nvPicPr>
                        <pic:blipFill>
                          <a:blip r:embed="rId50"/>
                          <a:stretch>
                            <a:fillRect/>
                          </a:stretch>
                        </pic:blipFill>
                        <pic:spPr>
                          <a:xfrm>
                            <a:off x="0" y="0"/>
                            <a:ext cx="2707640" cy="859155"/>
                          </a:xfrm>
                          <a:prstGeom prst="rect">
                            <a:avLst/>
                          </a:prstGeom>
                          <a:noFill/>
                          <a:ln>
                            <a:noFill/>
                          </a:ln>
                        </pic:spPr>
                      </pic:pic>
                    </a:graphicData>
                  </a:graphic>
                </wp:inline>
              </w:drawing>
            </w:r>
          </w:p>
          <w:p w14:paraId="2559AE3D">
            <w:pPr>
              <w:ind w:firstLine="420" w:firstLineChars="200"/>
            </w:pPr>
            <w:r>
              <w:rPr>
                <w:rFonts w:hint="eastAsia" w:ascii="黑体" w:hAnsi="黑体" w:eastAsia="黑体"/>
              </w:rPr>
              <w:t>图B.2 铅芯橡胶支座水平向计算模型</w:t>
            </w:r>
          </w:p>
        </w:tc>
        <w:tc>
          <w:tcPr>
            <w:tcW w:w="5126" w:type="dxa"/>
          </w:tcPr>
          <w:p w14:paraId="7C7E26E2">
            <w:pPr>
              <w:pStyle w:val="70"/>
              <w:ind w:firstLine="0" w:firstLineChars="0"/>
              <w:rPr>
                <w:rFonts w:hint="eastAsia" w:ascii="黑体" w:hAnsi="黑体" w:eastAsia="黑体"/>
                <w:sz w:val="21"/>
                <w:szCs w:val="20"/>
              </w:rPr>
            </w:pPr>
            <w:r>
              <w:rPr>
                <w:rFonts w:ascii="黑体" w:hAnsi="黑体" w:eastAsia="黑体" w:cs="黑体"/>
                <w:sz w:val="21"/>
                <w:szCs w:val="20"/>
              </w:rPr>
              <w:t>B</w:t>
            </w:r>
            <w:r>
              <w:rPr>
                <w:rFonts w:ascii="黑体" w:eastAsia="黑体" w:cs="黑体"/>
                <w:sz w:val="21"/>
                <w:szCs w:val="20"/>
              </w:rPr>
              <w:t>.</w:t>
            </w:r>
            <w:r>
              <w:rPr>
                <w:rFonts w:ascii="黑体" w:hAnsi="黑体" w:eastAsia="黑体" w:cs="黑体"/>
                <w:sz w:val="21"/>
                <w:szCs w:val="20"/>
              </w:rPr>
              <w:t xml:space="preserve">4   </w:t>
            </w:r>
            <w:r>
              <w:rPr>
                <w:rFonts w:hint="eastAsia" w:ascii="黑体" w:hAnsi="黑体" w:eastAsia="黑体" w:cs="黑体"/>
                <w:sz w:val="21"/>
                <w:szCs w:val="20"/>
              </w:rPr>
              <w:t>铅芯橡胶支座的</w:t>
            </w:r>
            <w:r>
              <w:rPr>
                <w:rFonts w:ascii="黑体" w:hAnsi="黑体" w:eastAsia="黑体" w:cs="黑体"/>
                <w:sz w:val="21"/>
                <w:szCs w:val="20"/>
              </w:rPr>
              <w:t>力学模型</w:t>
            </w:r>
            <w:r>
              <w:rPr>
                <w:rFonts w:hint="eastAsia" w:ascii="黑体" w:hAnsi="黑体" w:eastAsia="黑体"/>
                <w:sz w:val="21"/>
                <w:szCs w:val="20"/>
                <w:u w:val="single"/>
              </w:rPr>
              <w:t>与高阻尼橡胶支座的力学模型</w:t>
            </w:r>
          </w:p>
          <w:p w14:paraId="0EA6AC4F">
            <w:pPr>
              <w:pStyle w:val="70"/>
              <w:spacing w:line="600" w:lineRule="auto"/>
              <w:ind w:firstLine="0" w:firstLineChars="0"/>
              <w:rPr>
                <w:rFonts w:ascii="Times New Roman"/>
                <w:sz w:val="21"/>
                <w:szCs w:val="20"/>
              </w:rPr>
            </w:pPr>
            <w:r>
              <w:rPr>
                <w:rFonts w:ascii="Times New Roman"/>
                <w:sz w:val="21"/>
                <w:szCs w:val="20"/>
              </w:rPr>
              <w:t xml:space="preserve">B.4.1 </w:t>
            </w:r>
            <w:r>
              <w:rPr>
                <w:rFonts w:hint="eastAsia" w:ascii="Times New Roman"/>
                <w:sz w:val="21"/>
                <w:szCs w:val="20"/>
              </w:rPr>
              <w:t>竖向</w:t>
            </w:r>
            <w:r>
              <w:rPr>
                <w:rFonts w:ascii="Times New Roman"/>
                <w:sz w:val="21"/>
                <w:szCs w:val="20"/>
              </w:rPr>
              <w:t>受压</w:t>
            </w:r>
            <w:r>
              <w:rPr>
                <w:rFonts w:hint="eastAsia" w:ascii="Times New Roman"/>
                <w:sz w:val="21"/>
                <w:szCs w:val="20"/>
              </w:rPr>
              <w:t>力学</w:t>
            </w:r>
            <w:r>
              <w:rPr>
                <w:rFonts w:ascii="Times New Roman"/>
                <w:sz w:val="21"/>
                <w:szCs w:val="20"/>
              </w:rPr>
              <w:t>模型</w:t>
            </w:r>
          </w:p>
          <w:p w14:paraId="2B2CFE16">
            <w:pPr>
              <w:pStyle w:val="70"/>
              <w:ind w:firstLine="420"/>
              <w:rPr>
                <w:rFonts w:ascii="Times New Roman"/>
                <w:sz w:val="21"/>
                <w:szCs w:val="20"/>
              </w:rPr>
            </w:pPr>
            <w:r>
              <w:rPr>
                <w:rFonts w:hint="eastAsia" w:ascii="Times New Roman"/>
                <w:sz w:val="21"/>
                <w:szCs w:val="20"/>
              </w:rPr>
              <w:t>竖向受压力学</w:t>
            </w:r>
            <w:r>
              <w:rPr>
                <w:rFonts w:ascii="Times New Roman"/>
                <w:sz w:val="21"/>
                <w:szCs w:val="20"/>
              </w:rPr>
              <w:t>模型采用线弹性</w:t>
            </w:r>
            <w:r>
              <w:rPr>
                <w:rFonts w:hint="eastAsia" w:ascii="Times New Roman"/>
                <w:sz w:val="21"/>
                <w:szCs w:val="20"/>
              </w:rPr>
              <w:t>模型</w:t>
            </w:r>
            <w:r>
              <w:rPr>
                <w:rFonts w:ascii="Times New Roman"/>
                <w:sz w:val="21"/>
                <w:szCs w:val="20"/>
              </w:rPr>
              <w:t>，</w:t>
            </w:r>
            <w:r>
              <w:rPr>
                <w:rFonts w:hint="eastAsia" w:ascii="Times New Roman"/>
                <w:sz w:val="21"/>
                <w:szCs w:val="21"/>
                <w:u w:val="single"/>
              </w:rPr>
              <w:t>见图</w:t>
            </w:r>
            <w:r>
              <w:rPr>
                <w:rFonts w:ascii="Times New Roman"/>
                <w:sz w:val="21"/>
                <w:szCs w:val="21"/>
                <w:u w:val="single"/>
              </w:rPr>
              <w:t>B.2</w:t>
            </w:r>
            <w:r>
              <w:rPr>
                <w:rFonts w:hint="eastAsia" w:ascii="Times New Roman"/>
                <w:sz w:val="21"/>
                <w:szCs w:val="21"/>
                <w:u w:val="single"/>
              </w:rPr>
              <w:t>a，</w:t>
            </w:r>
            <w:r>
              <w:rPr>
                <w:rFonts w:hint="eastAsia" w:ascii="Times New Roman"/>
                <w:sz w:val="21"/>
                <w:szCs w:val="20"/>
              </w:rPr>
              <w:t>线弹性</w:t>
            </w:r>
            <w:r>
              <w:rPr>
                <w:rFonts w:ascii="Times New Roman"/>
                <w:sz w:val="21"/>
                <w:szCs w:val="20"/>
              </w:rPr>
              <w:t>刚度取支座的</w:t>
            </w:r>
            <w:r>
              <w:rPr>
                <w:rFonts w:hint="eastAsia" w:ascii="Times New Roman"/>
                <w:sz w:val="21"/>
                <w:szCs w:val="20"/>
              </w:rPr>
              <w:t>竖向</w:t>
            </w:r>
            <w:r>
              <w:rPr>
                <w:rFonts w:ascii="Times New Roman"/>
                <w:sz w:val="21"/>
                <w:szCs w:val="20"/>
              </w:rPr>
              <w:t>受压刚度</w:t>
            </w:r>
            <w:r>
              <w:rPr>
                <w:rFonts w:hint="eastAsia" w:ascii="Times New Roman"/>
                <w:sz w:val="21"/>
                <w:szCs w:val="20"/>
              </w:rPr>
              <w:t>。</w:t>
            </w:r>
          </w:p>
          <w:p w14:paraId="781C4BFC">
            <w:pPr>
              <w:pStyle w:val="70"/>
              <w:ind w:firstLine="0" w:firstLineChars="0"/>
              <w:rPr>
                <w:rFonts w:ascii="Times New Roman"/>
                <w:sz w:val="21"/>
                <w:szCs w:val="20"/>
              </w:rPr>
            </w:pPr>
            <w:r>
              <w:rPr>
                <w:rFonts w:ascii="Times New Roman"/>
                <w:sz w:val="21"/>
                <w:szCs w:val="20"/>
              </w:rPr>
              <w:t xml:space="preserve">B.4.2 </w:t>
            </w:r>
            <w:r>
              <w:rPr>
                <w:rFonts w:hint="eastAsia" w:ascii="Times New Roman"/>
                <w:sz w:val="21"/>
                <w:szCs w:val="20"/>
              </w:rPr>
              <w:t>竖向受拉力学模型</w:t>
            </w:r>
          </w:p>
          <w:p w14:paraId="709BF303">
            <w:pPr>
              <w:pStyle w:val="70"/>
              <w:ind w:firstLine="420"/>
              <w:rPr>
                <w:rFonts w:ascii="Times New Roman"/>
                <w:sz w:val="21"/>
                <w:szCs w:val="20"/>
              </w:rPr>
            </w:pPr>
            <w:r>
              <w:rPr>
                <w:rFonts w:hint="eastAsia" w:ascii="Times New Roman"/>
                <w:sz w:val="21"/>
                <w:szCs w:val="20"/>
              </w:rPr>
              <w:t>竖向受</w:t>
            </w:r>
            <w:r>
              <w:rPr>
                <w:rFonts w:hint="eastAsia" w:ascii="Times New Roman"/>
                <w:sz w:val="21"/>
                <w:szCs w:val="20"/>
                <w:bdr w:val="single" w:color="auto" w:sz="2" w:space="0"/>
              </w:rPr>
              <w:t>压</w:t>
            </w:r>
            <w:r>
              <w:rPr>
                <w:rFonts w:hint="eastAsia" w:ascii="Times New Roman"/>
                <w:sz w:val="21"/>
                <w:szCs w:val="20"/>
                <w:u w:val="single"/>
              </w:rPr>
              <w:t>拉</w:t>
            </w:r>
            <w:r>
              <w:rPr>
                <w:rFonts w:hint="eastAsia" w:ascii="Times New Roman"/>
                <w:sz w:val="21"/>
                <w:szCs w:val="20"/>
              </w:rPr>
              <w:t>力学</w:t>
            </w:r>
            <w:r>
              <w:rPr>
                <w:rFonts w:ascii="Times New Roman"/>
                <w:sz w:val="21"/>
                <w:szCs w:val="20"/>
              </w:rPr>
              <w:t>模型采用线弹性</w:t>
            </w:r>
            <w:r>
              <w:rPr>
                <w:rFonts w:hint="eastAsia" w:ascii="Times New Roman"/>
                <w:sz w:val="21"/>
                <w:szCs w:val="20"/>
              </w:rPr>
              <w:t>模型</w:t>
            </w:r>
            <w:r>
              <w:rPr>
                <w:rFonts w:ascii="Times New Roman"/>
                <w:sz w:val="21"/>
                <w:szCs w:val="20"/>
              </w:rPr>
              <w:t>，</w:t>
            </w:r>
            <w:r>
              <w:rPr>
                <w:rFonts w:hint="eastAsia" w:ascii="Times New Roman"/>
                <w:sz w:val="21"/>
                <w:szCs w:val="21"/>
                <w:u w:val="single"/>
              </w:rPr>
              <w:t>见图</w:t>
            </w:r>
            <w:r>
              <w:rPr>
                <w:rFonts w:ascii="Times New Roman"/>
                <w:sz w:val="21"/>
                <w:szCs w:val="21"/>
                <w:u w:val="single"/>
              </w:rPr>
              <w:t>B.2</w:t>
            </w:r>
            <w:r>
              <w:rPr>
                <w:rFonts w:hint="eastAsia" w:ascii="Times New Roman"/>
                <w:sz w:val="21"/>
                <w:szCs w:val="21"/>
                <w:u w:val="single"/>
              </w:rPr>
              <w:t>a，</w:t>
            </w:r>
            <w:r>
              <w:rPr>
                <w:rFonts w:hint="eastAsia" w:ascii="Times New Roman"/>
                <w:sz w:val="21"/>
                <w:szCs w:val="20"/>
              </w:rPr>
              <w:t>线弹性</w:t>
            </w:r>
            <w:r>
              <w:rPr>
                <w:rFonts w:ascii="Times New Roman"/>
                <w:sz w:val="21"/>
                <w:szCs w:val="20"/>
              </w:rPr>
              <w:t>刚度取支座</w:t>
            </w:r>
            <w:r>
              <w:rPr>
                <w:rFonts w:hint="eastAsia" w:ascii="Times New Roman"/>
                <w:sz w:val="21"/>
                <w:szCs w:val="20"/>
              </w:rPr>
              <w:t>弹性</w:t>
            </w:r>
            <w:r>
              <w:rPr>
                <w:rFonts w:ascii="Times New Roman"/>
                <w:sz w:val="21"/>
                <w:szCs w:val="20"/>
              </w:rPr>
              <w:t>受拉阶段的受</w:t>
            </w:r>
            <w:r>
              <w:rPr>
                <w:rFonts w:hint="eastAsia" w:ascii="Times New Roman"/>
                <w:sz w:val="21"/>
                <w:szCs w:val="20"/>
              </w:rPr>
              <w:t>拉</w:t>
            </w:r>
            <w:r>
              <w:rPr>
                <w:rFonts w:ascii="Times New Roman"/>
                <w:sz w:val="21"/>
                <w:szCs w:val="20"/>
              </w:rPr>
              <w:t>刚度</w:t>
            </w:r>
            <w:r>
              <w:rPr>
                <w:rFonts w:hint="eastAsia" w:ascii="Times New Roman"/>
                <w:sz w:val="21"/>
                <w:szCs w:val="20"/>
              </w:rPr>
              <w:t>。</w:t>
            </w:r>
          </w:p>
          <w:p w14:paraId="29C6ACA8">
            <w:pPr>
              <w:pStyle w:val="70"/>
              <w:ind w:firstLine="0" w:firstLineChars="0"/>
              <w:rPr>
                <w:rFonts w:ascii="Times New Roman"/>
                <w:sz w:val="21"/>
                <w:szCs w:val="20"/>
              </w:rPr>
            </w:pPr>
            <w:r>
              <w:rPr>
                <w:rFonts w:ascii="Times New Roman"/>
                <w:sz w:val="21"/>
                <w:szCs w:val="20"/>
              </w:rPr>
              <w:t xml:space="preserve">B.4.3 </w:t>
            </w:r>
            <w:r>
              <w:rPr>
                <w:rFonts w:hint="eastAsia" w:ascii="Times New Roman"/>
                <w:sz w:val="21"/>
                <w:szCs w:val="20"/>
              </w:rPr>
              <w:t>水平</w:t>
            </w:r>
            <w:r>
              <w:rPr>
                <w:rFonts w:ascii="Times New Roman"/>
                <w:sz w:val="21"/>
                <w:szCs w:val="20"/>
              </w:rPr>
              <w:t>向</w:t>
            </w:r>
            <w:r>
              <w:rPr>
                <w:rFonts w:hint="eastAsia" w:ascii="Times New Roman"/>
                <w:sz w:val="21"/>
                <w:szCs w:val="20"/>
              </w:rPr>
              <w:t>力学</w:t>
            </w:r>
            <w:r>
              <w:rPr>
                <w:rFonts w:ascii="Times New Roman"/>
                <w:sz w:val="21"/>
                <w:szCs w:val="20"/>
              </w:rPr>
              <w:t>模型</w:t>
            </w:r>
          </w:p>
          <w:p w14:paraId="45DA7888">
            <w:pPr>
              <w:ind w:firstLine="360" w:firstLineChars="200"/>
              <w:jc w:val="left"/>
              <w:rPr>
                <w:sz w:val="18"/>
                <w:szCs w:val="18"/>
              </w:rPr>
            </w:pPr>
            <w:r>
              <w:rPr>
                <w:rFonts w:hint="eastAsia"/>
                <w:sz w:val="18"/>
                <w:szCs w:val="18"/>
              </w:rPr>
              <w:t>水平向力学</w:t>
            </w:r>
            <w:r>
              <w:rPr>
                <w:sz w:val="18"/>
                <w:szCs w:val="18"/>
              </w:rPr>
              <w:t>模型采用</w:t>
            </w:r>
            <w:r>
              <w:rPr>
                <w:rFonts w:hint="eastAsia"/>
                <w:sz w:val="18"/>
                <w:szCs w:val="18"/>
              </w:rPr>
              <w:t>双</w:t>
            </w:r>
            <w:r>
              <w:rPr>
                <w:sz w:val="18"/>
                <w:szCs w:val="18"/>
              </w:rPr>
              <w:t>线性</w:t>
            </w:r>
            <w:r>
              <w:rPr>
                <w:rFonts w:hint="eastAsia"/>
                <w:sz w:val="18"/>
                <w:szCs w:val="18"/>
              </w:rPr>
              <w:t>模型</w:t>
            </w:r>
            <w:r>
              <w:rPr>
                <w:rFonts w:hint="eastAsia"/>
                <w:sz w:val="18"/>
                <w:szCs w:val="18"/>
                <w:u w:val="single"/>
              </w:rPr>
              <w:t>，</w:t>
            </w:r>
            <w:r>
              <w:rPr>
                <w:rFonts w:hint="eastAsia"/>
                <w:sz w:val="18"/>
                <w:szCs w:val="18"/>
              </w:rPr>
              <w:t>见图</w:t>
            </w:r>
            <w:r>
              <w:rPr>
                <w:sz w:val="18"/>
                <w:szCs w:val="18"/>
              </w:rPr>
              <w:t>B.2</w:t>
            </w:r>
            <w:r>
              <w:rPr>
                <w:rFonts w:hint="eastAsia"/>
                <w:sz w:val="18"/>
                <w:szCs w:val="18"/>
                <w:u w:val="single"/>
              </w:rPr>
              <w:t>b</w:t>
            </w:r>
            <w:r>
              <w:rPr>
                <w:sz w:val="18"/>
                <w:szCs w:val="18"/>
              </w:rPr>
              <w:t>，</w:t>
            </w:r>
            <w:r>
              <w:rPr>
                <w:rFonts w:hint="eastAsia"/>
                <w:sz w:val="18"/>
                <w:szCs w:val="18"/>
              </w:rPr>
              <w:t>恢复力</w:t>
            </w:r>
            <w:r>
              <w:rPr>
                <w:sz w:val="18"/>
                <w:szCs w:val="18"/>
              </w:rPr>
              <w:t>曲线的大小和形状由屈服力</w:t>
            </w:r>
            <w:r>
              <w:rPr>
                <w:sz w:val="18"/>
                <w:szCs w:val="18"/>
                <w:bdr w:val="single" w:color="auto" w:sz="2" w:space="0"/>
              </w:rPr>
              <w:t>，</w:t>
            </w:r>
            <w:r>
              <w:rPr>
                <w:rFonts w:hint="eastAsia"/>
                <w:sz w:val="18"/>
                <w:szCs w:val="18"/>
                <w:u w:val="single"/>
              </w:rPr>
              <w:t>、</w:t>
            </w:r>
            <w:r>
              <w:rPr>
                <w:sz w:val="18"/>
                <w:szCs w:val="18"/>
              </w:rPr>
              <w:t>屈服前</w:t>
            </w:r>
            <w:r>
              <w:rPr>
                <w:rFonts w:hint="eastAsia"/>
                <w:sz w:val="18"/>
                <w:szCs w:val="18"/>
              </w:rPr>
              <w:t>水平</w:t>
            </w:r>
            <w:r>
              <w:rPr>
                <w:sz w:val="18"/>
                <w:szCs w:val="18"/>
              </w:rPr>
              <w:t>刚度和屈服后</w:t>
            </w:r>
            <w:r>
              <w:rPr>
                <w:rFonts w:hint="eastAsia"/>
                <w:sz w:val="18"/>
                <w:szCs w:val="18"/>
              </w:rPr>
              <w:t>水平</w:t>
            </w:r>
            <w:r>
              <w:rPr>
                <w:sz w:val="18"/>
                <w:szCs w:val="18"/>
              </w:rPr>
              <w:t>刚度</w:t>
            </w:r>
            <w:r>
              <w:rPr>
                <w:rFonts w:hint="eastAsia"/>
                <w:sz w:val="18"/>
                <w:szCs w:val="18"/>
              </w:rPr>
              <w:t>确定。</w:t>
            </w:r>
          </w:p>
          <w:p w14:paraId="694EC887">
            <w:pPr>
              <w:jc w:val="left"/>
            </w:pPr>
            <w:r>
              <w:drawing>
                <wp:inline distT="0" distB="0" distL="114300" distR="114300">
                  <wp:extent cx="3114040" cy="1382395"/>
                  <wp:effectExtent l="0" t="0" r="10160" b="8255"/>
                  <wp:docPr id="71"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93"/>
                          <pic:cNvPicPr>
                            <a:picLocks noChangeAspect="1"/>
                          </pic:cNvPicPr>
                        </pic:nvPicPr>
                        <pic:blipFill>
                          <a:blip r:embed="rId51"/>
                          <a:stretch>
                            <a:fillRect/>
                          </a:stretch>
                        </pic:blipFill>
                        <pic:spPr>
                          <a:xfrm>
                            <a:off x="0" y="0"/>
                            <a:ext cx="3114040" cy="1382395"/>
                          </a:xfrm>
                          <a:prstGeom prst="rect">
                            <a:avLst/>
                          </a:prstGeom>
                          <a:noFill/>
                          <a:ln>
                            <a:noFill/>
                          </a:ln>
                        </pic:spPr>
                      </pic:pic>
                    </a:graphicData>
                  </a:graphic>
                </wp:inline>
              </w:drawing>
            </w:r>
          </w:p>
          <w:p w14:paraId="0E6FDC0E">
            <w:pPr>
              <w:jc w:val="center"/>
              <w:rPr>
                <w:rFonts w:hint="eastAsia" w:ascii="黑体" w:hAnsi="黑体" w:eastAsia="黑体"/>
              </w:rPr>
            </w:pPr>
            <w:r>
              <w:rPr>
                <w:rFonts w:hint="eastAsia" w:ascii="黑体" w:hAnsi="黑体" w:eastAsia="黑体"/>
              </w:rPr>
              <w:t>图B.2 铅芯橡胶支座</w:t>
            </w:r>
            <w:r>
              <w:rPr>
                <w:rFonts w:hint="eastAsia" w:ascii="黑体" w:hAnsi="黑体" w:eastAsia="黑体"/>
                <w:bdr w:val="single" w:color="auto" w:sz="2" w:space="0"/>
              </w:rPr>
              <w:t>水平向计算</w:t>
            </w:r>
            <w:r>
              <w:rPr>
                <w:rFonts w:hint="eastAsia" w:ascii="黑体" w:hAnsi="黑体" w:eastAsia="黑体"/>
                <w:u w:val="single"/>
              </w:rPr>
              <w:t>力学</w:t>
            </w:r>
            <w:r>
              <w:rPr>
                <w:rFonts w:hint="eastAsia" w:ascii="黑体" w:hAnsi="黑体" w:eastAsia="黑体"/>
              </w:rPr>
              <w:t>模型</w:t>
            </w:r>
          </w:p>
          <w:p w14:paraId="7459C5F9">
            <w:pPr>
              <w:pStyle w:val="70"/>
              <w:snapToGrid w:val="0"/>
              <w:spacing w:line="360" w:lineRule="auto"/>
              <w:ind w:firstLine="420"/>
              <w:rPr>
                <w:rFonts w:ascii="Times New Roman"/>
                <w:sz w:val="21"/>
                <w:szCs w:val="21"/>
                <w:u w:val="single"/>
              </w:rPr>
            </w:pPr>
            <w:r>
              <w:rPr>
                <w:rFonts w:hint="eastAsia" w:ascii="Times New Roman"/>
                <w:sz w:val="21"/>
                <w:szCs w:val="21"/>
                <w:u w:val="single"/>
              </w:rPr>
              <w:t>图中：</w:t>
            </w:r>
          </w:p>
          <w:p w14:paraId="330CC6D6">
            <w:pPr>
              <w:pStyle w:val="70"/>
              <w:snapToGrid w:val="0"/>
              <w:ind w:firstLine="420"/>
              <w:rPr>
                <w:rFonts w:ascii="Times New Roman"/>
                <w:sz w:val="21"/>
                <w:szCs w:val="21"/>
                <w:u w:val="single"/>
              </w:rPr>
            </w:pPr>
            <w:r>
              <w:rPr>
                <w:rFonts w:ascii="Times New Roman"/>
                <w:position w:val="-12"/>
                <w:sz w:val="21"/>
                <w:szCs w:val="21"/>
                <w:u w:val="single"/>
              </w:rPr>
              <w:object>
                <v:shape id="_x0000_i1029" o:spt="75" type="#_x0000_t75" style="height:18pt;width:15pt;" o:ole="t" filled="f" o:preferrelative="t" stroked="f" coordsize="21600,21600">
                  <v:path/>
                  <v:fill on="f" focussize="0,0"/>
                  <v:stroke on="f" joinstyle="miter"/>
                  <v:imagedata r:id="rId53" o:title=""/>
                  <o:lock v:ext="edit" aspectratio="t"/>
                  <w10:wrap type="none"/>
                  <w10:anchorlock/>
                </v:shape>
                <o:OLEObject Type="Embed" ProgID="Equation.DSMT4" ShapeID="_x0000_i1029" DrawAspect="Content" ObjectID="_1468075728" r:id="rId52">
                  <o:LockedField>false</o:LockedField>
                </o:OLEObject>
              </w:object>
            </w:r>
            <w:r>
              <w:rPr>
                <w:rFonts w:hint="eastAsia" w:ascii="Times New Roman"/>
                <w:sz w:val="21"/>
                <w:szCs w:val="21"/>
                <w:u w:val="single"/>
              </w:rPr>
              <w:t>——屈服力；</w:t>
            </w:r>
          </w:p>
          <w:p w14:paraId="0C34D072">
            <w:pPr>
              <w:pStyle w:val="70"/>
              <w:snapToGrid w:val="0"/>
              <w:ind w:firstLine="420"/>
              <w:rPr>
                <w:rFonts w:ascii="Times New Roman"/>
                <w:sz w:val="21"/>
                <w:szCs w:val="21"/>
                <w:u w:val="single"/>
              </w:rPr>
            </w:pPr>
            <w:r>
              <w:rPr>
                <w:rFonts w:ascii="Times New Roman"/>
                <w:position w:val="-14"/>
                <w:sz w:val="21"/>
                <w:szCs w:val="21"/>
                <w:u w:val="single"/>
              </w:rPr>
              <w:object>
                <v:shape id="_x0000_i1030" o:spt="75" type="#_x0000_t75" style="height:19.5pt;width:16.5pt;" o:ole="t" filled="f" o:preferrelative="t" stroked="f" coordsize="21600,21600">
                  <v:path/>
                  <v:fill on="f" focussize="0,0"/>
                  <v:stroke on="f" joinstyle="miter"/>
                  <v:imagedata r:id="rId55" o:title=""/>
                  <o:lock v:ext="edit" aspectratio="t"/>
                  <w10:wrap type="none"/>
                  <w10:anchorlock/>
                </v:shape>
                <o:OLEObject Type="Embed" ProgID="Equation.DSMT4" ShapeID="_x0000_i1030" DrawAspect="Content" ObjectID="_1468075729" r:id="rId54">
                  <o:LockedField>false</o:LockedField>
                </o:OLEObject>
              </w:object>
            </w:r>
            <w:r>
              <w:rPr>
                <w:rFonts w:hint="eastAsia" w:ascii="Times New Roman"/>
                <w:sz w:val="21"/>
                <w:szCs w:val="21"/>
                <w:u w:val="single"/>
              </w:rPr>
              <w:t>——与屈服位移对应的水平剪力；</w:t>
            </w:r>
          </w:p>
          <w:p w14:paraId="612D4A94">
            <w:pPr>
              <w:pStyle w:val="70"/>
              <w:snapToGrid w:val="0"/>
              <w:ind w:firstLine="420"/>
              <w:rPr>
                <w:rFonts w:ascii="Times New Roman"/>
                <w:sz w:val="21"/>
                <w:szCs w:val="21"/>
                <w:u w:val="single"/>
              </w:rPr>
            </w:pPr>
            <w:r>
              <w:rPr>
                <w:rFonts w:ascii="Times New Roman"/>
                <w:position w:val="-12"/>
                <w:sz w:val="21"/>
                <w:szCs w:val="21"/>
                <w:u w:val="single"/>
              </w:rPr>
              <w:object>
                <v:shape id="_x0000_i1031" o:spt="75" type="#_x0000_t75" style="height:18pt;width:15pt;" o:ole="t" filled="f" o:preferrelative="t" stroked="f" coordsize="21600,21600">
                  <v:path/>
                  <v:fill on="f" focussize="0,0"/>
                  <v:stroke on="f" joinstyle="miter"/>
                  <v:imagedata r:id="rId57" o:title=""/>
                  <o:lock v:ext="edit" aspectratio="t"/>
                  <w10:wrap type="none"/>
                  <w10:anchorlock/>
                </v:shape>
                <o:OLEObject Type="Embed" ProgID="Equation.DSMT4" ShapeID="_x0000_i1031" DrawAspect="Content" ObjectID="_1468075730" r:id="rId56">
                  <o:LockedField>false</o:LockedField>
                </o:OLEObject>
              </w:object>
            </w:r>
            <w:r>
              <w:rPr>
                <w:rFonts w:hint="eastAsia" w:ascii="Times New Roman"/>
                <w:sz w:val="21"/>
                <w:szCs w:val="21"/>
                <w:u w:val="single"/>
              </w:rPr>
              <w:t>——建筑隔震橡胶支座屈服前水平刚度；</w:t>
            </w:r>
          </w:p>
          <w:p w14:paraId="2192ED34">
            <w:pPr>
              <w:pStyle w:val="70"/>
              <w:snapToGrid w:val="0"/>
              <w:ind w:firstLine="420"/>
              <w:rPr>
                <w:rFonts w:ascii="Times New Roman"/>
                <w:sz w:val="21"/>
                <w:szCs w:val="21"/>
                <w:u w:val="single"/>
              </w:rPr>
            </w:pPr>
            <w:r>
              <w:rPr>
                <w:rFonts w:ascii="Times New Roman"/>
                <w:position w:val="-12"/>
                <w:sz w:val="21"/>
                <w:szCs w:val="21"/>
                <w:u w:val="single"/>
              </w:rPr>
              <w:object>
                <v:shape id="_x0000_i1032" o:spt="75" type="#_x0000_t75" style="height:18pt;width:17.5pt;" o:ole="t" filled="f" o:preferrelative="t" stroked="f" coordsize="21600,21600">
                  <v:path/>
                  <v:fill on="f" focussize="0,0"/>
                  <v:stroke on="f" joinstyle="miter"/>
                  <v:imagedata r:id="rId59" o:title=""/>
                  <o:lock v:ext="edit" aspectratio="t"/>
                  <w10:wrap type="none"/>
                  <w10:anchorlock/>
                </v:shape>
                <o:OLEObject Type="Embed" ProgID="Equation.DSMT4" ShapeID="_x0000_i1032" DrawAspect="Content" ObjectID="_1468075731" r:id="rId58">
                  <o:LockedField>false</o:LockedField>
                </o:OLEObject>
              </w:object>
            </w:r>
            <w:r>
              <w:rPr>
                <w:rFonts w:hint="eastAsia" w:ascii="Times New Roman"/>
                <w:sz w:val="21"/>
                <w:szCs w:val="21"/>
                <w:u w:val="single"/>
              </w:rPr>
              <w:t>——建筑隔震橡胶支座屈服后水平刚度；</w:t>
            </w:r>
          </w:p>
          <w:p w14:paraId="1CA2AAC6">
            <w:pPr>
              <w:pStyle w:val="70"/>
              <w:snapToGrid w:val="0"/>
              <w:ind w:firstLine="420"/>
              <w:rPr>
                <w:rFonts w:ascii="Times New Roman"/>
                <w:sz w:val="21"/>
                <w:szCs w:val="21"/>
                <w:u w:val="single"/>
              </w:rPr>
            </w:pPr>
            <w:r>
              <w:rPr>
                <w:rFonts w:ascii="Times New Roman"/>
                <w:position w:val="-12"/>
                <w:sz w:val="21"/>
                <w:szCs w:val="21"/>
                <w:u w:val="single"/>
              </w:rPr>
              <w:object>
                <v:shape id="_x0000_i1033" o:spt="75" type="#_x0000_t75" style="height:18pt;width:17.5pt;" o:ole="t" filled="f" o:preferrelative="t" stroked="f" coordsize="21600,21600">
                  <v:path/>
                  <v:fill on="f" focussize="0,0"/>
                  <v:stroke on="f" joinstyle="miter"/>
                  <v:imagedata r:id="rId49" o:title=""/>
                  <o:lock v:ext="edit" aspectratio="t"/>
                  <w10:wrap type="none"/>
                  <w10:anchorlock/>
                </v:shape>
                <o:OLEObject Type="Embed" ProgID="Equation.DSMT4" ShapeID="_x0000_i1033" DrawAspect="Content" ObjectID="_1468075732" r:id="rId60">
                  <o:LockedField>false</o:LockedField>
                </o:OLEObject>
              </w:object>
            </w:r>
            <w:r>
              <w:rPr>
                <w:rFonts w:hint="eastAsia" w:ascii="Times New Roman"/>
                <w:sz w:val="21"/>
                <w:szCs w:val="21"/>
                <w:u w:val="single"/>
              </w:rPr>
              <w:t>——建筑隔震橡胶支座水平等效刚度。</w:t>
            </w:r>
          </w:p>
          <w:p w14:paraId="277E4154">
            <w:pPr>
              <w:jc w:val="center"/>
              <w:rPr>
                <w:rFonts w:hint="eastAsia" w:ascii="黑体" w:hAnsi="黑体" w:eastAsia="黑体"/>
              </w:rPr>
            </w:pPr>
          </w:p>
        </w:tc>
      </w:tr>
      <w:tr w14:paraId="1D9E66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tcPr>
          <w:p w14:paraId="6C4AC4F3">
            <w:pPr>
              <w:pStyle w:val="70"/>
              <w:spacing w:line="600" w:lineRule="auto"/>
              <w:ind w:firstLine="0" w:firstLineChars="0"/>
              <w:rPr>
                <w:rFonts w:hint="eastAsia" w:ascii="黑体" w:hAnsi="黑体" w:eastAsia="黑体"/>
                <w:sz w:val="21"/>
                <w:szCs w:val="20"/>
              </w:rPr>
            </w:pPr>
            <w:r>
              <w:rPr>
                <w:rFonts w:ascii="黑体" w:hAnsi="黑体" w:eastAsia="黑体" w:cs="黑体"/>
                <w:sz w:val="21"/>
                <w:szCs w:val="20"/>
              </w:rPr>
              <w:t>B</w:t>
            </w:r>
            <w:r>
              <w:rPr>
                <w:rFonts w:ascii="黑体" w:eastAsia="黑体" w:cs="黑体"/>
                <w:sz w:val="21"/>
                <w:szCs w:val="20"/>
              </w:rPr>
              <w:t>.</w:t>
            </w:r>
            <w:r>
              <w:rPr>
                <w:rFonts w:ascii="黑体" w:hAnsi="黑体" w:eastAsia="黑体" w:cs="黑体"/>
                <w:sz w:val="21"/>
                <w:szCs w:val="20"/>
              </w:rPr>
              <w:t xml:space="preserve">5   </w:t>
            </w:r>
            <w:r>
              <w:rPr>
                <w:rFonts w:hint="eastAsia" w:ascii="黑体" w:hAnsi="黑体" w:eastAsia="黑体" w:cs="黑体"/>
                <w:sz w:val="21"/>
                <w:szCs w:val="20"/>
              </w:rPr>
              <w:t>高阻尼橡胶支座的</w:t>
            </w:r>
            <w:r>
              <w:rPr>
                <w:rFonts w:ascii="黑体" w:hAnsi="黑体" w:eastAsia="黑体" w:cs="黑体"/>
                <w:sz w:val="21"/>
                <w:szCs w:val="20"/>
              </w:rPr>
              <w:t>力学模型</w:t>
            </w:r>
          </w:p>
          <w:p w14:paraId="0B729903">
            <w:pPr>
              <w:pStyle w:val="70"/>
              <w:ind w:firstLine="0" w:firstLineChars="0"/>
              <w:rPr>
                <w:rFonts w:ascii="Times New Roman"/>
                <w:sz w:val="21"/>
                <w:szCs w:val="20"/>
              </w:rPr>
            </w:pPr>
            <w:r>
              <w:rPr>
                <w:rFonts w:ascii="Times New Roman"/>
                <w:sz w:val="21"/>
                <w:szCs w:val="20"/>
              </w:rPr>
              <w:t xml:space="preserve">B.5.1 </w:t>
            </w:r>
            <w:r>
              <w:rPr>
                <w:rFonts w:hint="eastAsia" w:ascii="Times New Roman"/>
                <w:sz w:val="21"/>
                <w:szCs w:val="20"/>
              </w:rPr>
              <w:t>竖向</w:t>
            </w:r>
            <w:r>
              <w:rPr>
                <w:rFonts w:ascii="Times New Roman"/>
                <w:sz w:val="21"/>
                <w:szCs w:val="20"/>
              </w:rPr>
              <w:t>受压</w:t>
            </w:r>
            <w:r>
              <w:rPr>
                <w:rFonts w:hint="eastAsia" w:ascii="Times New Roman"/>
                <w:sz w:val="21"/>
                <w:szCs w:val="20"/>
              </w:rPr>
              <w:t>力学</w:t>
            </w:r>
            <w:r>
              <w:rPr>
                <w:rFonts w:ascii="Times New Roman"/>
                <w:sz w:val="21"/>
                <w:szCs w:val="20"/>
              </w:rPr>
              <w:t>模型</w:t>
            </w:r>
          </w:p>
          <w:p w14:paraId="4664CFF2">
            <w:pPr>
              <w:pStyle w:val="70"/>
              <w:ind w:firstLine="420"/>
              <w:rPr>
                <w:rFonts w:ascii="Times New Roman"/>
                <w:sz w:val="21"/>
                <w:szCs w:val="20"/>
              </w:rPr>
            </w:pPr>
            <w:r>
              <w:rPr>
                <w:rFonts w:hint="eastAsia" w:ascii="Times New Roman"/>
                <w:sz w:val="21"/>
                <w:szCs w:val="20"/>
              </w:rPr>
              <w:t>竖向受压力学</w:t>
            </w:r>
            <w:r>
              <w:rPr>
                <w:rFonts w:ascii="Times New Roman"/>
                <w:sz w:val="21"/>
                <w:szCs w:val="20"/>
              </w:rPr>
              <w:t>模型采用线弹性</w:t>
            </w:r>
            <w:r>
              <w:rPr>
                <w:rFonts w:hint="eastAsia" w:ascii="Times New Roman"/>
                <w:sz w:val="21"/>
                <w:szCs w:val="20"/>
              </w:rPr>
              <w:t>模型</w:t>
            </w:r>
            <w:r>
              <w:rPr>
                <w:rFonts w:ascii="Times New Roman"/>
                <w:sz w:val="21"/>
                <w:szCs w:val="20"/>
              </w:rPr>
              <w:t>，</w:t>
            </w:r>
            <w:r>
              <w:rPr>
                <w:rFonts w:hint="eastAsia" w:ascii="Times New Roman"/>
                <w:sz w:val="21"/>
                <w:szCs w:val="20"/>
              </w:rPr>
              <w:t>线弹性</w:t>
            </w:r>
            <w:r>
              <w:rPr>
                <w:rFonts w:ascii="Times New Roman"/>
                <w:sz w:val="21"/>
                <w:szCs w:val="20"/>
              </w:rPr>
              <w:t>刚度取支座的</w:t>
            </w:r>
            <w:r>
              <w:rPr>
                <w:rFonts w:hint="eastAsia" w:ascii="Times New Roman"/>
                <w:sz w:val="21"/>
                <w:szCs w:val="20"/>
              </w:rPr>
              <w:t>竖向</w:t>
            </w:r>
            <w:r>
              <w:rPr>
                <w:rFonts w:ascii="Times New Roman"/>
                <w:sz w:val="21"/>
                <w:szCs w:val="20"/>
              </w:rPr>
              <w:t>受压刚度</w:t>
            </w:r>
            <w:r>
              <w:rPr>
                <w:rFonts w:hint="eastAsia" w:ascii="Times New Roman"/>
                <w:sz w:val="21"/>
                <w:szCs w:val="20"/>
              </w:rPr>
              <w:t>。</w:t>
            </w:r>
          </w:p>
          <w:p w14:paraId="248A582C">
            <w:pPr>
              <w:pStyle w:val="70"/>
              <w:ind w:firstLine="0" w:firstLineChars="0"/>
              <w:rPr>
                <w:rFonts w:ascii="Times New Roman"/>
                <w:sz w:val="21"/>
                <w:szCs w:val="20"/>
              </w:rPr>
            </w:pPr>
            <w:r>
              <w:rPr>
                <w:rFonts w:ascii="Times New Roman"/>
                <w:sz w:val="21"/>
                <w:szCs w:val="20"/>
              </w:rPr>
              <w:t xml:space="preserve">B.5.2 </w:t>
            </w:r>
            <w:r>
              <w:rPr>
                <w:rFonts w:hint="eastAsia" w:ascii="Times New Roman"/>
                <w:sz w:val="21"/>
                <w:szCs w:val="20"/>
              </w:rPr>
              <w:t>竖向受拉力学模型</w:t>
            </w:r>
          </w:p>
          <w:p w14:paraId="6A6560FB">
            <w:pPr>
              <w:pStyle w:val="70"/>
              <w:ind w:firstLine="420"/>
              <w:rPr>
                <w:rFonts w:ascii="Times New Roman"/>
                <w:sz w:val="21"/>
                <w:szCs w:val="20"/>
              </w:rPr>
            </w:pPr>
            <w:r>
              <w:rPr>
                <w:rFonts w:hint="eastAsia" w:ascii="Times New Roman"/>
                <w:sz w:val="21"/>
                <w:szCs w:val="20"/>
              </w:rPr>
              <w:t>竖向受压力学</w:t>
            </w:r>
            <w:r>
              <w:rPr>
                <w:rFonts w:ascii="Times New Roman"/>
                <w:sz w:val="21"/>
                <w:szCs w:val="20"/>
              </w:rPr>
              <w:t>模型采用线弹性</w:t>
            </w:r>
            <w:r>
              <w:rPr>
                <w:rFonts w:hint="eastAsia" w:ascii="Times New Roman"/>
                <w:sz w:val="21"/>
                <w:szCs w:val="20"/>
              </w:rPr>
              <w:t>模型</w:t>
            </w:r>
            <w:r>
              <w:rPr>
                <w:rFonts w:ascii="Times New Roman"/>
                <w:sz w:val="21"/>
                <w:szCs w:val="20"/>
              </w:rPr>
              <w:t>，</w:t>
            </w:r>
            <w:r>
              <w:rPr>
                <w:rFonts w:hint="eastAsia" w:ascii="Times New Roman"/>
                <w:sz w:val="21"/>
                <w:szCs w:val="20"/>
              </w:rPr>
              <w:t>线弹性</w:t>
            </w:r>
            <w:r>
              <w:rPr>
                <w:rFonts w:ascii="Times New Roman"/>
                <w:sz w:val="21"/>
                <w:szCs w:val="20"/>
              </w:rPr>
              <w:t>刚度取支座</w:t>
            </w:r>
            <w:r>
              <w:rPr>
                <w:rFonts w:hint="eastAsia" w:ascii="Times New Roman"/>
                <w:sz w:val="21"/>
                <w:szCs w:val="20"/>
              </w:rPr>
              <w:t>弹性</w:t>
            </w:r>
            <w:r>
              <w:rPr>
                <w:rFonts w:ascii="Times New Roman"/>
                <w:sz w:val="21"/>
                <w:szCs w:val="20"/>
              </w:rPr>
              <w:t>受拉阶段的受</w:t>
            </w:r>
            <w:r>
              <w:rPr>
                <w:rFonts w:hint="eastAsia" w:ascii="Times New Roman"/>
                <w:sz w:val="21"/>
                <w:szCs w:val="20"/>
              </w:rPr>
              <w:t>拉</w:t>
            </w:r>
            <w:r>
              <w:rPr>
                <w:rFonts w:ascii="Times New Roman"/>
                <w:sz w:val="21"/>
                <w:szCs w:val="20"/>
              </w:rPr>
              <w:t>刚度</w:t>
            </w:r>
            <w:r>
              <w:rPr>
                <w:rFonts w:hint="eastAsia" w:ascii="Times New Roman"/>
                <w:sz w:val="21"/>
                <w:szCs w:val="20"/>
              </w:rPr>
              <w:t>。</w:t>
            </w:r>
          </w:p>
          <w:p w14:paraId="4E466496">
            <w:pPr>
              <w:pStyle w:val="70"/>
              <w:ind w:firstLine="0" w:firstLineChars="0"/>
              <w:rPr>
                <w:rFonts w:ascii="Times New Roman"/>
                <w:sz w:val="21"/>
                <w:szCs w:val="20"/>
              </w:rPr>
            </w:pPr>
            <w:r>
              <w:rPr>
                <w:rFonts w:ascii="Times New Roman"/>
                <w:sz w:val="21"/>
                <w:szCs w:val="20"/>
              </w:rPr>
              <w:t xml:space="preserve">B.5.3 </w:t>
            </w:r>
            <w:r>
              <w:rPr>
                <w:rFonts w:hint="eastAsia" w:ascii="Times New Roman"/>
                <w:sz w:val="21"/>
                <w:szCs w:val="20"/>
              </w:rPr>
              <w:t>水平</w:t>
            </w:r>
            <w:r>
              <w:rPr>
                <w:rFonts w:ascii="Times New Roman"/>
                <w:sz w:val="21"/>
                <w:szCs w:val="20"/>
              </w:rPr>
              <w:t>向</w:t>
            </w:r>
            <w:r>
              <w:rPr>
                <w:rFonts w:hint="eastAsia" w:ascii="Times New Roman"/>
                <w:sz w:val="21"/>
                <w:szCs w:val="20"/>
              </w:rPr>
              <w:t>力学</w:t>
            </w:r>
            <w:r>
              <w:rPr>
                <w:rFonts w:ascii="Times New Roman"/>
                <w:sz w:val="21"/>
                <w:szCs w:val="20"/>
              </w:rPr>
              <w:t>模型</w:t>
            </w:r>
          </w:p>
          <w:p w14:paraId="7D8D9B71">
            <w:pPr>
              <w:pStyle w:val="70"/>
              <w:ind w:firstLine="420"/>
              <w:rPr>
                <w:rFonts w:ascii="Times New Roman"/>
                <w:sz w:val="21"/>
                <w:szCs w:val="20"/>
              </w:rPr>
            </w:pPr>
            <w:r>
              <w:rPr>
                <w:rFonts w:hint="eastAsia" w:ascii="Times New Roman"/>
                <w:sz w:val="21"/>
                <w:szCs w:val="20"/>
              </w:rPr>
              <w:t>水平向力学</w:t>
            </w:r>
            <w:r>
              <w:rPr>
                <w:rFonts w:ascii="Times New Roman"/>
                <w:sz w:val="21"/>
                <w:szCs w:val="20"/>
              </w:rPr>
              <w:t>模型采用</w:t>
            </w:r>
            <w:r>
              <w:rPr>
                <w:rFonts w:hint="eastAsia" w:ascii="Times New Roman"/>
                <w:sz w:val="21"/>
                <w:szCs w:val="20"/>
              </w:rPr>
              <w:t>修正</w:t>
            </w:r>
            <w:r>
              <w:rPr>
                <w:rFonts w:ascii="Times New Roman"/>
                <w:sz w:val="21"/>
                <w:szCs w:val="20"/>
              </w:rPr>
              <w:t>双线性</w:t>
            </w:r>
            <w:r>
              <w:rPr>
                <w:rFonts w:hint="eastAsia" w:ascii="Times New Roman"/>
                <w:sz w:val="21"/>
                <w:szCs w:val="20"/>
              </w:rPr>
              <w:t>模型见图</w:t>
            </w:r>
            <w:r>
              <w:rPr>
                <w:rFonts w:ascii="Times New Roman"/>
                <w:sz w:val="21"/>
                <w:szCs w:val="20"/>
              </w:rPr>
              <w:t>B.3，</w:t>
            </w:r>
            <w:r>
              <w:rPr>
                <w:rFonts w:hint="eastAsia" w:ascii="Times New Roman"/>
                <w:sz w:val="21"/>
                <w:szCs w:val="20"/>
              </w:rPr>
              <w:t>恢复力</w:t>
            </w:r>
            <w:r>
              <w:rPr>
                <w:rFonts w:ascii="Times New Roman"/>
                <w:sz w:val="21"/>
                <w:szCs w:val="20"/>
              </w:rPr>
              <w:t>曲线的大小和形状由屈服力，屈服前</w:t>
            </w:r>
            <w:r>
              <w:rPr>
                <w:rFonts w:hint="eastAsia" w:ascii="Times New Roman"/>
                <w:sz w:val="21"/>
                <w:szCs w:val="20"/>
              </w:rPr>
              <w:t>水平</w:t>
            </w:r>
            <w:r>
              <w:rPr>
                <w:rFonts w:ascii="Times New Roman"/>
                <w:sz w:val="21"/>
                <w:szCs w:val="20"/>
              </w:rPr>
              <w:t>刚度和屈服后</w:t>
            </w:r>
            <w:r>
              <w:rPr>
                <w:rFonts w:hint="eastAsia" w:ascii="Times New Roman"/>
                <w:sz w:val="21"/>
                <w:szCs w:val="20"/>
              </w:rPr>
              <w:t>水平</w:t>
            </w:r>
            <w:r>
              <w:rPr>
                <w:rFonts w:ascii="Times New Roman"/>
                <w:sz w:val="21"/>
                <w:szCs w:val="20"/>
              </w:rPr>
              <w:t>刚度</w:t>
            </w:r>
            <w:r>
              <w:rPr>
                <w:rFonts w:hint="eastAsia" w:ascii="Times New Roman"/>
                <w:sz w:val="21"/>
                <w:szCs w:val="20"/>
              </w:rPr>
              <w:t>确定。</w:t>
            </w:r>
            <w:r>
              <w:rPr>
                <w:rFonts w:ascii="Times New Roman"/>
                <w:sz w:val="21"/>
                <w:szCs w:val="20"/>
              </w:rPr>
              <w:t>屈服力，屈服前</w:t>
            </w:r>
            <w:r>
              <w:rPr>
                <w:rFonts w:hint="eastAsia" w:ascii="Times New Roman"/>
                <w:sz w:val="21"/>
                <w:szCs w:val="20"/>
              </w:rPr>
              <w:t>水平</w:t>
            </w:r>
            <w:r>
              <w:rPr>
                <w:rFonts w:ascii="Times New Roman"/>
                <w:sz w:val="21"/>
                <w:szCs w:val="20"/>
              </w:rPr>
              <w:t>刚度和屈服后</w:t>
            </w:r>
            <w:r>
              <w:rPr>
                <w:rFonts w:hint="eastAsia" w:ascii="Times New Roman"/>
                <w:sz w:val="21"/>
                <w:szCs w:val="20"/>
              </w:rPr>
              <w:t>水平</w:t>
            </w:r>
            <w:r>
              <w:rPr>
                <w:rFonts w:ascii="Times New Roman"/>
                <w:sz w:val="21"/>
                <w:szCs w:val="20"/>
              </w:rPr>
              <w:t>刚度</w:t>
            </w:r>
            <w:r>
              <w:rPr>
                <w:rFonts w:hint="eastAsia" w:ascii="Times New Roman"/>
                <w:sz w:val="21"/>
                <w:szCs w:val="20"/>
              </w:rPr>
              <w:t>随</w:t>
            </w:r>
            <w:r>
              <w:rPr>
                <w:rFonts w:ascii="Times New Roman"/>
                <w:sz w:val="21"/>
                <w:szCs w:val="20"/>
              </w:rPr>
              <w:t>支座剪应变进行</w:t>
            </w:r>
            <w:r>
              <w:rPr>
                <w:rFonts w:hint="eastAsia" w:ascii="Times New Roman"/>
                <w:sz w:val="21"/>
                <w:szCs w:val="20"/>
              </w:rPr>
              <w:t>修正</w:t>
            </w:r>
            <w:r>
              <w:rPr>
                <w:rFonts w:ascii="Times New Roman"/>
                <w:sz w:val="21"/>
                <w:szCs w:val="20"/>
              </w:rPr>
              <w:t>。</w:t>
            </w:r>
          </w:p>
          <w:p w14:paraId="3C912CCC">
            <w:pPr>
              <w:pStyle w:val="70"/>
              <w:ind w:firstLine="420"/>
              <w:jc w:val="center"/>
              <w:rPr>
                <w:rFonts w:ascii="Times New Roman"/>
                <w:sz w:val="21"/>
                <w:szCs w:val="20"/>
              </w:rPr>
            </w:pPr>
            <w:r>
              <w:rPr>
                <w:rFonts w:ascii="Times New Roman"/>
                <w:sz w:val="21"/>
                <w:szCs w:val="20"/>
              </w:rPr>
              <w:drawing>
                <wp:inline distT="0" distB="0" distL="0" distR="0">
                  <wp:extent cx="2497455" cy="832485"/>
                  <wp:effectExtent l="0" t="0" r="17145"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2497455" cy="832485"/>
                          </a:xfrm>
                          <a:prstGeom prst="rect">
                            <a:avLst/>
                          </a:prstGeom>
                          <a:noFill/>
                          <a:ln>
                            <a:noFill/>
                          </a:ln>
                        </pic:spPr>
                      </pic:pic>
                    </a:graphicData>
                  </a:graphic>
                </wp:inline>
              </w:drawing>
            </w:r>
          </w:p>
          <w:p w14:paraId="28705392">
            <w:pPr>
              <w:pStyle w:val="70"/>
              <w:ind w:firstLine="300"/>
              <w:jc w:val="center"/>
              <w:rPr>
                <w:rFonts w:hint="eastAsia" w:asciiTheme="majorEastAsia" w:hAnsiTheme="majorEastAsia" w:eastAsiaTheme="majorEastAsia"/>
                <w:sz w:val="15"/>
                <w:szCs w:val="15"/>
              </w:rPr>
            </w:pPr>
            <w:r>
              <w:rPr>
                <w:rFonts w:asciiTheme="majorEastAsia" w:hAnsiTheme="majorEastAsia" w:eastAsiaTheme="majorEastAsia"/>
                <w:sz w:val="15"/>
                <w:szCs w:val="15"/>
              </w:rPr>
              <w:t>a</w:t>
            </w:r>
            <w:r>
              <w:rPr>
                <w:rFonts w:hint="eastAsia" w:asciiTheme="majorEastAsia" w:hAnsiTheme="majorEastAsia" w:eastAsiaTheme="majorEastAsia"/>
                <w:sz w:val="15"/>
                <w:szCs w:val="15"/>
              </w:rPr>
              <w:t>）竖向</w:t>
            </w:r>
            <w:r>
              <w:rPr>
                <w:rFonts w:asciiTheme="majorEastAsia" w:hAnsiTheme="majorEastAsia" w:eastAsiaTheme="majorEastAsia"/>
                <w:sz w:val="15"/>
                <w:szCs w:val="15"/>
              </w:rPr>
              <w:t>计算模型</w:t>
            </w:r>
            <w:r>
              <w:rPr>
                <w:rFonts w:hint="eastAsia" w:asciiTheme="majorEastAsia" w:hAnsiTheme="majorEastAsia" w:eastAsiaTheme="majorEastAsia"/>
                <w:sz w:val="15"/>
                <w:szCs w:val="15"/>
              </w:rPr>
              <w:t xml:space="preserve"> </w:t>
            </w:r>
            <w:r>
              <w:rPr>
                <w:rFonts w:asciiTheme="majorEastAsia" w:hAnsiTheme="majorEastAsia" w:eastAsiaTheme="majorEastAsia"/>
                <w:sz w:val="15"/>
                <w:szCs w:val="15"/>
              </w:rPr>
              <w:t xml:space="preserve">                 </w:t>
            </w:r>
            <w:r>
              <w:rPr>
                <w:rFonts w:hint="eastAsia" w:asciiTheme="majorEastAsia" w:hAnsiTheme="majorEastAsia" w:eastAsiaTheme="majorEastAsia"/>
                <w:sz w:val="15"/>
                <w:szCs w:val="15"/>
              </w:rPr>
              <w:t xml:space="preserve"> </w:t>
            </w:r>
            <w:r>
              <w:rPr>
                <w:rFonts w:asciiTheme="majorEastAsia" w:hAnsiTheme="majorEastAsia" w:eastAsiaTheme="majorEastAsia"/>
                <w:sz w:val="15"/>
                <w:szCs w:val="15"/>
              </w:rPr>
              <w:t>b）水平</w:t>
            </w:r>
            <w:r>
              <w:rPr>
                <w:rFonts w:hint="eastAsia" w:asciiTheme="majorEastAsia" w:hAnsiTheme="majorEastAsia" w:eastAsiaTheme="majorEastAsia"/>
                <w:sz w:val="15"/>
                <w:szCs w:val="15"/>
              </w:rPr>
              <w:t>向</w:t>
            </w:r>
            <w:r>
              <w:rPr>
                <w:rFonts w:asciiTheme="majorEastAsia" w:hAnsiTheme="majorEastAsia" w:eastAsiaTheme="majorEastAsia"/>
                <w:sz w:val="15"/>
                <w:szCs w:val="15"/>
              </w:rPr>
              <w:t>计算模型</w:t>
            </w:r>
          </w:p>
          <w:p w14:paraId="7842CA1F">
            <w:pPr>
              <w:ind w:firstLine="360" w:firstLineChars="200"/>
              <w:rPr>
                <w:rFonts w:hint="eastAsia" w:ascii="黑体" w:hAnsi="黑体" w:eastAsia="黑体"/>
                <w:sz w:val="18"/>
                <w:szCs w:val="18"/>
              </w:rPr>
            </w:pPr>
            <w:r>
              <w:rPr>
                <w:rFonts w:hint="eastAsia" w:ascii="黑体" w:hAnsi="黑体" w:eastAsia="黑体"/>
                <w:sz w:val="18"/>
                <w:szCs w:val="18"/>
              </w:rPr>
              <w:t>图B.3 高阻尼橡胶支座水平向计算模型</w:t>
            </w:r>
          </w:p>
        </w:tc>
        <w:tc>
          <w:tcPr>
            <w:tcW w:w="5126" w:type="dxa"/>
          </w:tcPr>
          <w:p w14:paraId="35510F68">
            <w:pPr>
              <w:pStyle w:val="70"/>
              <w:spacing w:line="600" w:lineRule="auto"/>
              <w:ind w:firstLine="0" w:firstLineChars="0"/>
              <w:rPr>
                <w:rFonts w:hint="eastAsia" w:ascii="黑体" w:hAnsi="黑体" w:eastAsia="黑体"/>
                <w:sz w:val="21"/>
                <w:szCs w:val="20"/>
                <w:bdr w:val="single" w:color="auto" w:sz="2" w:space="0"/>
              </w:rPr>
            </w:pPr>
            <w:r>
              <w:rPr>
                <w:rFonts w:ascii="黑体" w:hAnsi="黑体" w:eastAsia="黑体" w:cs="黑体"/>
                <w:sz w:val="21"/>
                <w:szCs w:val="20"/>
                <w:bdr w:val="single" w:color="auto" w:sz="2" w:space="0"/>
              </w:rPr>
              <w:t>B</w:t>
            </w:r>
            <w:r>
              <w:rPr>
                <w:rFonts w:ascii="黑体" w:eastAsia="黑体" w:cs="黑体"/>
                <w:sz w:val="21"/>
                <w:szCs w:val="20"/>
                <w:bdr w:val="single" w:color="auto" w:sz="2" w:space="0"/>
              </w:rPr>
              <w:t>.</w:t>
            </w:r>
            <w:r>
              <w:rPr>
                <w:rFonts w:ascii="黑体" w:hAnsi="黑体" w:eastAsia="黑体" w:cs="黑体"/>
                <w:sz w:val="21"/>
                <w:szCs w:val="20"/>
                <w:bdr w:val="single" w:color="auto" w:sz="2" w:space="0"/>
              </w:rPr>
              <w:t xml:space="preserve">5   </w:t>
            </w:r>
            <w:r>
              <w:rPr>
                <w:rFonts w:hint="eastAsia" w:ascii="黑体" w:hAnsi="黑体" w:eastAsia="黑体" w:cs="黑体"/>
                <w:sz w:val="21"/>
                <w:szCs w:val="20"/>
                <w:bdr w:val="single" w:color="auto" w:sz="2" w:space="0"/>
              </w:rPr>
              <w:t>高阻尼橡胶支座的</w:t>
            </w:r>
            <w:r>
              <w:rPr>
                <w:rFonts w:ascii="黑体" w:hAnsi="黑体" w:eastAsia="黑体" w:cs="黑体"/>
                <w:sz w:val="21"/>
                <w:szCs w:val="20"/>
                <w:bdr w:val="single" w:color="auto" w:sz="2" w:space="0"/>
              </w:rPr>
              <w:t>力学模型</w:t>
            </w:r>
          </w:p>
          <w:p w14:paraId="01C8E446">
            <w:pPr>
              <w:pStyle w:val="70"/>
              <w:ind w:firstLine="0" w:firstLineChars="0"/>
              <w:rPr>
                <w:rFonts w:ascii="Times New Roman"/>
                <w:sz w:val="21"/>
                <w:szCs w:val="20"/>
                <w:bdr w:val="single" w:color="auto" w:sz="2" w:space="0"/>
              </w:rPr>
            </w:pPr>
            <w:r>
              <w:rPr>
                <w:rFonts w:ascii="Times New Roman"/>
                <w:sz w:val="21"/>
                <w:szCs w:val="20"/>
                <w:bdr w:val="single" w:color="auto" w:sz="2" w:space="0"/>
              </w:rPr>
              <w:t xml:space="preserve">B.5.1 </w:t>
            </w:r>
            <w:r>
              <w:rPr>
                <w:rFonts w:hint="eastAsia" w:ascii="Times New Roman"/>
                <w:sz w:val="21"/>
                <w:szCs w:val="20"/>
                <w:bdr w:val="single" w:color="auto" w:sz="2" w:space="0"/>
              </w:rPr>
              <w:t>竖向</w:t>
            </w:r>
            <w:r>
              <w:rPr>
                <w:rFonts w:ascii="Times New Roman"/>
                <w:sz w:val="21"/>
                <w:szCs w:val="20"/>
                <w:bdr w:val="single" w:color="auto" w:sz="2" w:space="0"/>
              </w:rPr>
              <w:t>受压</w:t>
            </w:r>
            <w:r>
              <w:rPr>
                <w:rFonts w:hint="eastAsia" w:ascii="Times New Roman"/>
                <w:sz w:val="21"/>
                <w:szCs w:val="20"/>
                <w:bdr w:val="single" w:color="auto" w:sz="2" w:space="0"/>
              </w:rPr>
              <w:t>力学</w:t>
            </w:r>
            <w:r>
              <w:rPr>
                <w:rFonts w:ascii="Times New Roman"/>
                <w:sz w:val="21"/>
                <w:szCs w:val="20"/>
                <w:bdr w:val="single" w:color="auto" w:sz="2" w:space="0"/>
              </w:rPr>
              <w:t>模型</w:t>
            </w:r>
          </w:p>
          <w:p w14:paraId="12E9FC97">
            <w:pPr>
              <w:pStyle w:val="70"/>
              <w:ind w:firstLine="420"/>
              <w:rPr>
                <w:rFonts w:ascii="Times New Roman"/>
                <w:sz w:val="21"/>
                <w:szCs w:val="20"/>
                <w:bdr w:val="single" w:color="auto" w:sz="2" w:space="0"/>
              </w:rPr>
            </w:pPr>
            <w:r>
              <w:rPr>
                <w:rFonts w:hint="eastAsia" w:ascii="Times New Roman"/>
                <w:sz w:val="21"/>
                <w:szCs w:val="20"/>
                <w:bdr w:val="single" w:color="auto" w:sz="2" w:space="0"/>
              </w:rPr>
              <w:t>竖向受压力学</w:t>
            </w:r>
            <w:r>
              <w:rPr>
                <w:rFonts w:ascii="Times New Roman"/>
                <w:sz w:val="21"/>
                <w:szCs w:val="20"/>
                <w:bdr w:val="single" w:color="auto" w:sz="2" w:space="0"/>
              </w:rPr>
              <w:t>模型采用线弹性</w:t>
            </w:r>
            <w:r>
              <w:rPr>
                <w:rFonts w:hint="eastAsia" w:ascii="Times New Roman"/>
                <w:sz w:val="21"/>
                <w:szCs w:val="20"/>
                <w:bdr w:val="single" w:color="auto" w:sz="2" w:space="0"/>
              </w:rPr>
              <w:t>模型</w:t>
            </w:r>
            <w:r>
              <w:rPr>
                <w:rFonts w:ascii="Times New Roman"/>
                <w:sz w:val="21"/>
                <w:szCs w:val="20"/>
                <w:bdr w:val="single" w:color="auto" w:sz="2" w:space="0"/>
              </w:rPr>
              <w:t>，</w:t>
            </w:r>
            <w:r>
              <w:rPr>
                <w:rFonts w:hint="eastAsia" w:ascii="Times New Roman"/>
                <w:sz w:val="21"/>
                <w:szCs w:val="20"/>
                <w:bdr w:val="single" w:color="auto" w:sz="2" w:space="0"/>
              </w:rPr>
              <w:t>线弹性</w:t>
            </w:r>
            <w:r>
              <w:rPr>
                <w:rFonts w:ascii="Times New Roman"/>
                <w:sz w:val="21"/>
                <w:szCs w:val="20"/>
                <w:bdr w:val="single" w:color="auto" w:sz="2" w:space="0"/>
              </w:rPr>
              <w:t>刚度取支座的</w:t>
            </w:r>
            <w:r>
              <w:rPr>
                <w:rFonts w:hint="eastAsia" w:ascii="Times New Roman"/>
                <w:sz w:val="21"/>
                <w:szCs w:val="20"/>
                <w:bdr w:val="single" w:color="auto" w:sz="2" w:space="0"/>
              </w:rPr>
              <w:t>竖向</w:t>
            </w:r>
            <w:r>
              <w:rPr>
                <w:rFonts w:ascii="Times New Roman"/>
                <w:sz w:val="21"/>
                <w:szCs w:val="20"/>
                <w:bdr w:val="single" w:color="auto" w:sz="2" w:space="0"/>
              </w:rPr>
              <w:t>受压刚度</w:t>
            </w:r>
            <w:r>
              <w:rPr>
                <w:rFonts w:hint="eastAsia" w:ascii="Times New Roman"/>
                <w:sz w:val="21"/>
                <w:szCs w:val="20"/>
                <w:bdr w:val="single" w:color="auto" w:sz="2" w:space="0"/>
              </w:rPr>
              <w:t>。</w:t>
            </w:r>
          </w:p>
          <w:p w14:paraId="358BF850">
            <w:pPr>
              <w:pStyle w:val="70"/>
              <w:ind w:firstLine="0" w:firstLineChars="0"/>
              <w:rPr>
                <w:rFonts w:ascii="Times New Roman"/>
                <w:sz w:val="21"/>
                <w:szCs w:val="20"/>
                <w:bdr w:val="single" w:color="auto" w:sz="2" w:space="0"/>
              </w:rPr>
            </w:pPr>
            <w:r>
              <w:rPr>
                <w:rFonts w:ascii="Times New Roman"/>
                <w:sz w:val="21"/>
                <w:szCs w:val="20"/>
                <w:bdr w:val="single" w:color="auto" w:sz="2" w:space="0"/>
              </w:rPr>
              <w:t xml:space="preserve">B.5.2 </w:t>
            </w:r>
            <w:r>
              <w:rPr>
                <w:rFonts w:hint="eastAsia" w:ascii="Times New Roman"/>
                <w:sz w:val="21"/>
                <w:szCs w:val="20"/>
                <w:bdr w:val="single" w:color="auto" w:sz="2" w:space="0"/>
              </w:rPr>
              <w:t>竖向受拉力学模型</w:t>
            </w:r>
          </w:p>
          <w:p w14:paraId="55C1DC2B">
            <w:pPr>
              <w:pStyle w:val="70"/>
              <w:ind w:firstLine="420"/>
              <w:rPr>
                <w:rFonts w:ascii="Times New Roman"/>
                <w:sz w:val="21"/>
                <w:szCs w:val="20"/>
                <w:bdr w:val="single" w:color="auto" w:sz="2" w:space="0"/>
              </w:rPr>
            </w:pPr>
            <w:r>
              <w:rPr>
                <w:rFonts w:hint="eastAsia" w:ascii="Times New Roman"/>
                <w:sz w:val="21"/>
                <w:szCs w:val="20"/>
                <w:bdr w:val="single" w:color="auto" w:sz="2" w:space="0"/>
              </w:rPr>
              <w:t>竖向受压力学</w:t>
            </w:r>
            <w:r>
              <w:rPr>
                <w:rFonts w:ascii="Times New Roman"/>
                <w:sz w:val="21"/>
                <w:szCs w:val="20"/>
                <w:bdr w:val="single" w:color="auto" w:sz="2" w:space="0"/>
              </w:rPr>
              <w:t>模型采用线弹性</w:t>
            </w:r>
            <w:r>
              <w:rPr>
                <w:rFonts w:hint="eastAsia" w:ascii="Times New Roman"/>
                <w:sz w:val="21"/>
                <w:szCs w:val="20"/>
                <w:bdr w:val="single" w:color="auto" w:sz="2" w:space="0"/>
              </w:rPr>
              <w:t>模型</w:t>
            </w:r>
            <w:r>
              <w:rPr>
                <w:rFonts w:ascii="Times New Roman"/>
                <w:sz w:val="21"/>
                <w:szCs w:val="20"/>
                <w:bdr w:val="single" w:color="auto" w:sz="2" w:space="0"/>
              </w:rPr>
              <w:t>，</w:t>
            </w:r>
            <w:r>
              <w:rPr>
                <w:rFonts w:hint="eastAsia" w:ascii="Times New Roman"/>
                <w:sz w:val="21"/>
                <w:szCs w:val="20"/>
                <w:bdr w:val="single" w:color="auto" w:sz="2" w:space="0"/>
              </w:rPr>
              <w:t>线弹性</w:t>
            </w:r>
            <w:r>
              <w:rPr>
                <w:rFonts w:ascii="Times New Roman"/>
                <w:sz w:val="21"/>
                <w:szCs w:val="20"/>
                <w:bdr w:val="single" w:color="auto" w:sz="2" w:space="0"/>
              </w:rPr>
              <w:t>刚度取支座</w:t>
            </w:r>
            <w:r>
              <w:rPr>
                <w:rFonts w:hint="eastAsia" w:ascii="Times New Roman"/>
                <w:sz w:val="21"/>
                <w:szCs w:val="20"/>
                <w:bdr w:val="single" w:color="auto" w:sz="2" w:space="0"/>
              </w:rPr>
              <w:t>弹性</w:t>
            </w:r>
            <w:r>
              <w:rPr>
                <w:rFonts w:ascii="Times New Roman"/>
                <w:sz w:val="21"/>
                <w:szCs w:val="20"/>
                <w:bdr w:val="single" w:color="auto" w:sz="2" w:space="0"/>
              </w:rPr>
              <w:t>受拉阶段的受</w:t>
            </w:r>
            <w:r>
              <w:rPr>
                <w:rFonts w:hint="eastAsia" w:ascii="Times New Roman"/>
                <w:sz w:val="21"/>
                <w:szCs w:val="20"/>
                <w:bdr w:val="single" w:color="auto" w:sz="2" w:space="0"/>
              </w:rPr>
              <w:t>拉</w:t>
            </w:r>
            <w:r>
              <w:rPr>
                <w:rFonts w:ascii="Times New Roman"/>
                <w:sz w:val="21"/>
                <w:szCs w:val="20"/>
                <w:bdr w:val="single" w:color="auto" w:sz="2" w:space="0"/>
              </w:rPr>
              <w:t>刚度</w:t>
            </w:r>
            <w:r>
              <w:rPr>
                <w:rFonts w:hint="eastAsia" w:ascii="Times New Roman"/>
                <w:sz w:val="21"/>
                <w:szCs w:val="20"/>
                <w:bdr w:val="single" w:color="auto" w:sz="2" w:space="0"/>
              </w:rPr>
              <w:t>。</w:t>
            </w:r>
          </w:p>
          <w:p w14:paraId="092845ED">
            <w:pPr>
              <w:pStyle w:val="70"/>
              <w:ind w:firstLine="0" w:firstLineChars="0"/>
              <w:rPr>
                <w:rFonts w:ascii="Times New Roman"/>
                <w:sz w:val="21"/>
                <w:szCs w:val="20"/>
                <w:bdr w:val="single" w:color="auto" w:sz="2" w:space="0"/>
              </w:rPr>
            </w:pPr>
            <w:r>
              <w:rPr>
                <w:rFonts w:ascii="Times New Roman"/>
                <w:sz w:val="21"/>
                <w:szCs w:val="20"/>
                <w:bdr w:val="single" w:color="auto" w:sz="2" w:space="0"/>
              </w:rPr>
              <w:t xml:space="preserve">B.5.3 </w:t>
            </w:r>
            <w:r>
              <w:rPr>
                <w:rFonts w:hint="eastAsia" w:ascii="Times New Roman"/>
                <w:sz w:val="21"/>
                <w:szCs w:val="20"/>
                <w:bdr w:val="single" w:color="auto" w:sz="2" w:space="0"/>
              </w:rPr>
              <w:t>水平</w:t>
            </w:r>
            <w:r>
              <w:rPr>
                <w:rFonts w:ascii="Times New Roman"/>
                <w:sz w:val="21"/>
                <w:szCs w:val="20"/>
                <w:bdr w:val="single" w:color="auto" w:sz="2" w:space="0"/>
              </w:rPr>
              <w:t>向</w:t>
            </w:r>
            <w:r>
              <w:rPr>
                <w:rFonts w:hint="eastAsia" w:ascii="Times New Roman"/>
                <w:sz w:val="21"/>
                <w:szCs w:val="20"/>
                <w:bdr w:val="single" w:color="auto" w:sz="2" w:space="0"/>
              </w:rPr>
              <w:t>力学</w:t>
            </w:r>
            <w:r>
              <w:rPr>
                <w:rFonts w:ascii="Times New Roman"/>
                <w:sz w:val="21"/>
                <w:szCs w:val="20"/>
                <w:bdr w:val="single" w:color="auto" w:sz="2" w:space="0"/>
              </w:rPr>
              <w:t>模型</w:t>
            </w:r>
          </w:p>
          <w:p w14:paraId="690F4294">
            <w:pPr>
              <w:pStyle w:val="70"/>
              <w:ind w:firstLine="420"/>
              <w:rPr>
                <w:rFonts w:ascii="Times New Roman"/>
                <w:sz w:val="21"/>
                <w:szCs w:val="20"/>
                <w:bdr w:val="single" w:color="auto" w:sz="2" w:space="0"/>
              </w:rPr>
            </w:pPr>
            <w:r>
              <w:rPr>
                <w:rFonts w:hint="eastAsia" w:ascii="Times New Roman"/>
                <w:sz w:val="21"/>
                <w:szCs w:val="20"/>
                <w:bdr w:val="single" w:color="auto" w:sz="2" w:space="0"/>
              </w:rPr>
              <w:t>水平向力学</w:t>
            </w:r>
            <w:r>
              <w:rPr>
                <w:rFonts w:ascii="Times New Roman"/>
                <w:sz w:val="21"/>
                <w:szCs w:val="20"/>
                <w:bdr w:val="single" w:color="auto" w:sz="2" w:space="0"/>
              </w:rPr>
              <w:t>模型采用</w:t>
            </w:r>
            <w:r>
              <w:rPr>
                <w:rFonts w:hint="eastAsia" w:ascii="Times New Roman"/>
                <w:sz w:val="21"/>
                <w:szCs w:val="20"/>
                <w:bdr w:val="single" w:color="auto" w:sz="2" w:space="0"/>
              </w:rPr>
              <w:t>修正</w:t>
            </w:r>
            <w:r>
              <w:rPr>
                <w:rFonts w:ascii="Times New Roman"/>
                <w:sz w:val="21"/>
                <w:szCs w:val="20"/>
                <w:bdr w:val="single" w:color="auto" w:sz="2" w:space="0"/>
              </w:rPr>
              <w:t>双线性</w:t>
            </w:r>
            <w:r>
              <w:rPr>
                <w:rFonts w:hint="eastAsia" w:ascii="Times New Roman"/>
                <w:sz w:val="21"/>
                <w:szCs w:val="20"/>
                <w:bdr w:val="single" w:color="auto" w:sz="2" w:space="0"/>
              </w:rPr>
              <w:t>模型见图</w:t>
            </w:r>
            <w:r>
              <w:rPr>
                <w:rFonts w:ascii="Times New Roman"/>
                <w:sz w:val="21"/>
                <w:szCs w:val="20"/>
                <w:bdr w:val="single" w:color="auto" w:sz="2" w:space="0"/>
              </w:rPr>
              <w:t>B.3，</w:t>
            </w:r>
            <w:r>
              <w:rPr>
                <w:rFonts w:hint="eastAsia" w:ascii="Times New Roman"/>
                <w:sz w:val="21"/>
                <w:szCs w:val="20"/>
                <w:bdr w:val="single" w:color="auto" w:sz="2" w:space="0"/>
              </w:rPr>
              <w:t>恢复力</w:t>
            </w:r>
            <w:r>
              <w:rPr>
                <w:rFonts w:ascii="Times New Roman"/>
                <w:sz w:val="21"/>
                <w:szCs w:val="20"/>
                <w:bdr w:val="single" w:color="auto" w:sz="2" w:space="0"/>
              </w:rPr>
              <w:t>曲线的大小和形状由屈服力，屈服前</w:t>
            </w:r>
            <w:r>
              <w:rPr>
                <w:rFonts w:hint="eastAsia" w:ascii="Times New Roman"/>
                <w:sz w:val="21"/>
                <w:szCs w:val="20"/>
                <w:bdr w:val="single" w:color="auto" w:sz="2" w:space="0"/>
              </w:rPr>
              <w:t>水平</w:t>
            </w:r>
            <w:r>
              <w:rPr>
                <w:rFonts w:ascii="Times New Roman"/>
                <w:sz w:val="21"/>
                <w:szCs w:val="20"/>
                <w:bdr w:val="single" w:color="auto" w:sz="2" w:space="0"/>
              </w:rPr>
              <w:t>刚度和屈服后</w:t>
            </w:r>
            <w:r>
              <w:rPr>
                <w:rFonts w:hint="eastAsia" w:ascii="Times New Roman"/>
                <w:sz w:val="21"/>
                <w:szCs w:val="20"/>
                <w:bdr w:val="single" w:color="auto" w:sz="2" w:space="0"/>
              </w:rPr>
              <w:t>水平</w:t>
            </w:r>
            <w:r>
              <w:rPr>
                <w:rFonts w:ascii="Times New Roman"/>
                <w:sz w:val="21"/>
                <w:szCs w:val="20"/>
                <w:bdr w:val="single" w:color="auto" w:sz="2" w:space="0"/>
              </w:rPr>
              <w:t>刚度</w:t>
            </w:r>
            <w:r>
              <w:rPr>
                <w:rFonts w:hint="eastAsia" w:ascii="Times New Roman"/>
                <w:sz w:val="21"/>
                <w:szCs w:val="20"/>
                <w:bdr w:val="single" w:color="auto" w:sz="2" w:space="0"/>
              </w:rPr>
              <w:t>确定。</w:t>
            </w:r>
            <w:r>
              <w:rPr>
                <w:rFonts w:ascii="Times New Roman"/>
                <w:sz w:val="21"/>
                <w:szCs w:val="20"/>
                <w:bdr w:val="single" w:color="auto" w:sz="2" w:space="0"/>
              </w:rPr>
              <w:t>屈服力，屈服前</w:t>
            </w:r>
            <w:r>
              <w:rPr>
                <w:rFonts w:hint="eastAsia" w:ascii="Times New Roman"/>
                <w:sz w:val="21"/>
                <w:szCs w:val="20"/>
                <w:bdr w:val="single" w:color="auto" w:sz="2" w:space="0"/>
              </w:rPr>
              <w:t>水平</w:t>
            </w:r>
            <w:r>
              <w:rPr>
                <w:rFonts w:ascii="Times New Roman"/>
                <w:sz w:val="21"/>
                <w:szCs w:val="20"/>
                <w:bdr w:val="single" w:color="auto" w:sz="2" w:space="0"/>
              </w:rPr>
              <w:t>刚度和屈服后</w:t>
            </w:r>
            <w:r>
              <w:rPr>
                <w:rFonts w:hint="eastAsia" w:ascii="Times New Roman"/>
                <w:sz w:val="21"/>
                <w:szCs w:val="20"/>
                <w:bdr w:val="single" w:color="auto" w:sz="2" w:space="0"/>
              </w:rPr>
              <w:t>水平</w:t>
            </w:r>
            <w:r>
              <w:rPr>
                <w:rFonts w:ascii="Times New Roman"/>
                <w:sz w:val="21"/>
                <w:szCs w:val="20"/>
                <w:bdr w:val="single" w:color="auto" w:sz="2" w:space="0"/>
              </w:rPr>
              <w:t>刚度</w:t>
            </w:r>
            <w:r>
              <w:rPr>
                <w:rFonts w:hint="eastAsia" w:ascii="Times New Roman"/>
                <w:sz w:val="21"/>
                <w:szCs w:val="20"/>
                <w:bdr w:val="single" w:color="auto" w:sz="2" w:space="0"/>
              </w:rPr>
              <w:t>随</w:t>
            </w:r>
            <w:r>
              <w:rPr>
                <w:rFonts w:ascii="Times New Roman"/>
                <w:sz w:val="21"/>
                <w:szCs w:val="20"/>
                <w:bdr w:val="single" w:color="auto" w:sz="2" w:space="0"/>
              </w:rPr>
              <w:t>支座剪应变进行</w:t>
            </w:r>
            <w:r>
              <w:rPr>
                <w:rFonts w:hint="eastAsia" w:ascii="Times New Roman"/>
                <w:sz w:val="21"/>
                <w:szCs w:val="20"/>
                <w:bdr w:val="single" w:color="auto" w:sz="2" w:space="0"/>
              </w:rPr>
              <w:t>修正</w:t>
            </w:r>
            <w:r>
              <w:rPr>
                <w:rFonts w:ascii="Times New Roman"/>
                <w:sz w:val="21"/>
                <w:szCs w:val="20"/>
                <w:bdr w:val="single" w:color="auto" w:sz="2" w:space="0"/>
              </w:rPr>
              <w:t>。</w:t>
            </w:r>
          </w:p>
          <w:p w14:paraId="097A0B6D">
            <w:pPr>
              <w:pStyle w:val="70"/>
              <w:ind w:firstLine="420"/>
              <w:jc w:val="center"/>
              <w:rPr>
                <w:rFonts w:ascii="Times New Roman"/>
                <w:sz w:val="21"/>
                <w:szCs w:val="20"/>
                <w:bdr w:val="single" w:color="auto" w:sz="2" w:space="0"/>
              </w:rPr>
            </w:pPr>
            <w:r>
              <w:rPr>
                <w:rFonts w:ascii="Times New Roman"/>
                <w:sz w:val="21"/>
                <w:szCs w:val="20"/>
                <w:bdr w:val="single" w:color="auto" w:sz="2" w:space="0"/>
              </w:rPr>
              <w:drawing>
                <wp:inline distT="0" distB="0" distL="0" distR="0">
                  <wp:extent cx="2419985" cy="807085"/>
                  <wp:effectExtent l="0" t="0" r="18415"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2419985" cy="807085"/>
                          </a:xfrm>
                          <a:prstGeom prst="rect">
                            <a:avLst/>
                          </a:prstGeom>
                          <a:noFill/>
                          <a:ln>
                            <a:noFill/>
                          </a:ln>
                        </pic:spPr>
                      </pic:pic>
                    </a:graphicData>
                  </a:graphic>
                </wp:inline>
              </w:drawing>
            </w:r>
          </w:p>
          <w:p w14:paraId="2A14F80A">
            <w:pPr>
              <w:pStyle w:val="70"/>
              <w:ind w:firstLine="300"/>
              <w:jc w:val="center"/>
              <w:rPr>
                <w:rFonts w:hint="eastAsia" w:asciiTheme="majorEastAsia" w:hAnsiTheme="majorEastAsia" w:eastAsiaTheme="majorEastAsia"/>
                <w:sz w:val="15"/>
                <w:szCs w:val="15"/>
                <w:bdr w:val="single" w:color="auto" w:sz="2" w:space="0"/>
              </w:rPr>
            </w:pPr>
            <w:r>
              <w:rPr>
                <w:rFonts w:asciiTheme="majorEastAsia" w:hAnsiTheme="majorEastAsia" w:eastAsiaTheme="majorEastAsia"/>
                <w:sz w:val="15"/>
                <w:szCs w:val="15"/>
                <w:bdr w:val="single" w:color="auto" w:sz="2" w:space="0"/>
              </w:rPr>
              <w:t>a</w:t>
            </w:r>
            <w:r>
              <w:rPr>
                <w:rFonts w:hint="eastAsia" w:asciiTheme="majorEastAsia" w:hAnsiTheme="majorEastAsia" w:eastAsiaTheme="majorEastAsia"/>
                <w:sz w:val="15"/>
                <w:szCs w:val="15"/>
                <w:bdr w:val="single" w:color="auto" w:sz="2" w:space="0"/>
              </w:rPr>
              <w:t>）竖向</w:t>
            </w:r>
            <w:r>
              <w:rPr>
                <w:rFonts w:asciiTheme="majorEastAsia" w:hAnsiTheme="majorEastAsia" w:eastAsiaTheme="majorEastAsia"/>
                <w:sz w:val="15"/>
                <w:szCs w:val="15"/>
                <w:bdr w:val="single" w:color="auto" w:sz="2" w:space="0"/>
              </w:rPr>
              <w:t>计算模型</w:t>
            </w:r>
            <w:r>
              <w:rPr>
                <w:rFonts w:hint="eastAsia" w:asciiTheme="majorEastAsia" w:hAnsiTheme="majorEastAsia" w:eastAsiaTheme="majorEastAsia"/>
                <w:sz w:val="15"/>
                <w:szCs w:val="15"/>
                <w:bdr w:val="single" w:color="auto" w:sz="2" w:space="0"/>
              </w:rPr>
              <w:t xml:space="preserve"> </w:t>
            </w:r>
            <w:r>
              <w:rPr>
                <w:rFonts w:asciiTheme="majorEastAsia" w:hAnsiTheme="majorEastAsia" w:eastAsiaTheme="majorEastAsia"/>
                <w:sz w:val="15"/>
                <w:szCs w:val="15"/>
                <w:bdr w:val="single" w:color="auto" w:sz="2" w:space="0"/>
              </w:rPr>
              <w:t xml:space="preserve">                 </w:t>
            </w:r>
            <w:r>
              <w:rPr>
                <w:rFonts w:hint="eastAsia" w:asciiTheme="majorEastAsia" w:hAnsiTheme="majorEastAsia" w:eastAsiaTheme="majorEastAsia"/>
                <w:sz w:val="15"/>
                <w:szCs w:val="15"/>
                <w:bdr w:val="single" w:color="auto" w:sz="2" w:space="0"/>
              </w:rPr>
              <w:t xml:space="preserve"> </w:t>
            </w:r>
            <w:r>
              <w:rPr>
                <w:rFonts w:asciiTheme="majorEastAsia" w:hAnsiTheme="majorEastAsia" w:eastAsiaTheme="majorEastAsia"/>
                <w:sz w:val="15"/>
                <w:szCs w:val="15"/>
                <w:bdr w:val="single" w:color="auto" w:sz="2" w:space="0"/>
              </w:rPr>
              <w:t>b）水平</w:t>
            </w:r>
            <w:r>
              <w:rPr>
                <w:rFonts w:hint="eastAsia" w:asciiTheme="majorEastAsia" w:hAnsiTheme="majorEastAsia" w:eastAsiaTheme="majorEastAsia"/>
                <w:sz w:val="15"/>
                <w:szCs w:val="15"/>
                <w:bdr w:val="single" w:color="auto" w:sz="2" w:space="0"/>
              </w:rPr>
              <w:t>向</w:t>
            </w:r>
            <w:r>
              <w:rPr>
                <w:rFonts w:asciiTheme="majorEastAsia" w:hAnsiTheme="majorEastAsia" w:eastAsiaTheme="majorEastAsia"/>
                <w:sz w:val="15"/>
                <w:szCs w:val="15"/>
                <w:bdr w:val="single" w:color="auto" w:sz="2" w:space="0"/>
              </w:rPr>
              <w:t>计算模型</w:t>
            </w:r>
          </w:p>
          <w:p w14:paraId="017C6E41">
            <w:pPr>
              <w:jc w:val="center"/>
              <w:rPr>
                <w:rFonts w:hint="eastAsia" w:ascii="黑体" w:hAnsi="黑体" w:eastAsia="黑体"/>
              </w:rPr>
            </w:pPr>
            <w:r>
              <w:rPr>
                <w:rFonts w:hint="eastAsia" w:ascii="黑体" w:hAnsi="黑体" w:eastAsia="黑体"/>
                <w:sz w:val="18"/>
                <w:szCs w:val="18"/>
                <w:bdr w:val="single" w:color="auto" w:sz="2" w:space="0"/>
              </w:rPr>
              <w:t>图B.3 高阻尼橡胶支座水平向计算模型</w:t>
            </w:r>
          </w:p>
        </w:tc>
      </w:tr>
      <w:tr w14:paraId="10E9B0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60C33094">
            <w:pPr>
              <w:ind w:firstLine="480" w:firstLineChars="200"/>
              <w:jc w:val="center"/>
            </w:pPr>
            <w:r>
              <w:rPr>
                <w:rFonts w:hint="eastAsia" w:ascii="黑体" w:hAnsi="黑体" w:eastAsia="黑体" w:cs="黑体"/>
                <w:sz w:val="24"/>
                <w:szCs w:val="24"/>
              </w:rPr>
              <w:t>附录C</w:t>
            </w:r>
          </w:p>
        </w:tc>
        <w:tc>
          <w:tcPr>
            <w:tcW w:w="5126" w:type="dxa"/>
            <w:vAlign w:val="center"/>
          </w:tcPr>
          <w:p w14:paraId="3B2B8DBF">
            <w:pPr>
              <w:ind w:firstLine="480" w:firstLineChars="200"/>
              <w:jc w:val="center"/>
            </w:pPr>
            <w:r>
              <w:rPr>
                <w:rFonts w:hint="eastAsia" w:ascii="黑体" w:hAnsi="黑体" w:eastAsia="黑体" w:cs="黑体"/>
                <w:sz w:val="24"/>
                <w:szCs w:val="24"/>
              </w:rPr>
              <w:t>附录C</w:t>
            </w:r>
          </w:p>
        </w:tc>
      </w:tr>
      <w:tr w14:paraId="1D1F13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70308F32">
            <w:pPr>
              <w:ind w:firstLine="420" w:firstLineChars="200"/>
              <w:jc w:val="center"/>
              <w:rPr>
                <w:rFonts w:hint="eastAsia" w:ascii="黑体" w:hAnsi="黑体" w:eastAsia="黑体" w:cs="黑体"/>
                <w:sz w:val="24"/>
                <w:szCs w:val="24"/>
              </w:rPr>
            </w:pPr>
            <w:r>
              <w:rPr>
                <w:rFonts w:hint="eastAsia"/>
              </w:rPr>
              <w:t>（资料性附录）</w:t>
            </w:r>
            <w:r>
              <w:br w:type="textWrapping"/>
            </w:r>
            <w:r>
              <w:rPr>
                <w:rFonts w:hint="eastAsia"/>
              </w:rPr>
              <w:t>建议的标准化产品规格及参数</w:t>
            </w:r>
          </w:p>
        </w:tc>
        <w:tc>
          <w:tcPr>
            <w:tcW w:w="5126" w:type="dxa"/>
          </w:tcPr>
          <w:p w14:paraId="11F2727E">
            <w:pPr>
              <w:ind w:firstLine="420" w:firstLineChars="200"/>
              <w:jc w:val="center"/>
              <w:rPr>
                <w:rFonts w:hint="eastAsia" w:ascii="黑体" w:hAnsi="黑体" w:eastAsia="黑体" w:cs="黑体"/>
                <w:sz w:val="24"/>
                <w:szCs w:val="24"/>
              </w:rPr>
            </w:pPr>
            <w:r>
              <w:rPr>
                <w:rFonts w:hint="eastAsia"/>
                <w:bdr w:val="single" w:color="auto" w:sz="4" w:space="0"/>
              </w:rPr>
              <w:t>（资料性附录）</w:t>
            </w:r>
            <w:r>
              <w:rPr>
                <w:rFonts w:hint="eastAsia"/>
                <w:u w:val="single"/>
              </w:rPr>
              <w:t>（规范性附录）</w:t>
            </w:r>
            <w:r>
              <w:rPr>
                <w:u w:val="single"/>
              </w:rPr>
              <w:br w:type="textWrapping"/>
            </w:r>
            <w:r>
              <w:rPr>
                <w:rFonts w:hint="eastAsia"/>
                <w:bdr w:val="single" w:color="auto" w:sz="4" w:space="0"/>
              </w:rPr>
              <w:t>建议的</w:t>
            </w:r>
            <w:r>
              <w:rPr>
                <w:rFonts w:hint="eastAsia"/>
              </w:rPr>
              <w:t>标准化产品规格及参数</w:t>
            </w:r>
          </w:p>
        </w:tc>
      </w:tr>
      <w:tr w14:paraId="67A4ED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4C29E9C8">
            <w:r>
              <w:drawing>
                <wp:inline distT="0" distB="0" distL="114300" distR="114300">
                  <wp:extent cx="3101340" cy="549910"/>
                  <wp:effectExtent l="0" t="0" r="3810" b="2540"/>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pic:cNvPicPr>
                        </pic:nvPicPr>
                        <pic:blipFill>
                          <a:blip r:embed="rId62"/>
                          <a:stretch>
                            <a:fillRect/>
                          </a:stretch>
                        </pic:blipFill>
                        <pic:spPr>
                          <a:xfrm>
                            <a:off x="0" y="0"/>
                            <a:ext cx="3101340" cy="549910"/>
                          </a:xfrm>
                          <a:prstGeom prst="rect">
                            <a:avLst/>
                          </a:prstGeom>
                          <a:noFill/>
                          <a:ln>
                            <a:noFill/>
                          </a:ln>
                        </pic:spPr>
                      </pic:pic>
                    </a:graphicData>
                  </a:graphic>
                </wp:inline>
              </w:drawing>
            </w:r>
          </w:p>
        </w:tc>
        <w:tc>
          <w:tcPr>
            <w:tcW w:w="5126" w:type="dxa"/>
          </w:tcPr>
          <w:p w14:paraId="7EFA6941">
            <w:r>
              <w:drawing>
                <wp:inline distT="0" distB="0" distL="114300" distR="114300">
                  <wp:extent cx="3101340" cy="549910"/>
                  <wp:effectExtent l="9525" t="9525" r="13335" b="12065"/>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62"/>
                          <a:stretch>
                            <a:fillRect/>
                          </a:stretch>
                        </pic:blipFill>
                        <pic:spPr>
                          <a:xfrm>
                            <a:off x="0" y="0"/>
                            <a:ext cx="3101340" cy="549910"/>
                          </a:xfrm>
                          <a:prstGeom prst="rect">
                            <a:avLst/>
                          </a:prstGeom>
                          <a:noFill/>
                          <a:ln>
                            <a:solidFill>
                              <a:schemeClr val="tx1"/>
                            </a:solidFill>
                          </a:ln>
                        </pic:spPr>
                      </pic:pic>
                    </a:graphicData>
                  </a:graphic>
                </wp:inline>
              </w:drawing>
            </w:r>
          </w:p>
        </w:tc>
      </w:tr>
      <w:tr w14:paraId="3CE41E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3D338B5D">
            <w:r>
              <w:drawing>
                <wp:inline distT="0" distB="0" distL="114300" distR="114300">
                  <wp:extent cx="3102610" cy="550545"/>
                  <wp:effectExtent l="0" t="0" r="2540" b="1905"/>
                  <wp:docPr id="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pic:cNvPicPr>
                            <a:picLocks noChangeAspect="1"/>
                          </pic:cNvPicPr>
                        </pic:nvPicPr>
                        <pic:blipFill>
                          <a:blip r:embed="rId63"/>
                          <a:stretch>
                            <a:fillRect/>
                          </a:stretch>
                        </pic:blipFill>
                        <pic:spPr>
                          <a:xfrm>
                            <a:off x="0" y="0"/>
                            <a:ext cx="3102610" cy="550545"/>
                          </a:xfrm>
                          <a:prstGeom prst="rect">
                            <a:avLst/>
                          </a:prstGeom>
                          <a:noFill/>
                          <a:ln>
                            <a:noFill/>
                          </a:ln>
                        </pic:spPr>
                      </pic:pic>
                    </a:graphicData>
                  </a:graphic>
                </wp:inline>
              </w:drawing>
            </w:r>
          </w:p>
        </w:tc>
        <w:tc>
          <w:tcPr>
            <w:tcW w:w="5126" w:type="dxa"/>
          </w:tcPr>
          <w:p w14:paraId="7D76428D">
            <w:r>
              <w:drawing>
                <wp:inline distT="0" distB="0" distL="114300" distR="114300">
                  <wp:extent cx="3110230" cy="820420"/>
                  <wp:effectExtent l="0" t="0" r="13970" b="1778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pic:cNvPicPr>
                            <a:picLocks noChangeAspect="1"/>
                          </pic:cNvPicPr>
                        </pic:nvPicPr>
                        <pic:blipFill>
                          <a:blip r:embed="rId64"/>
                          <a:stretch>
                            <a:fillRect/>
                          </a:stretch>
                        </pic:blipFill>
                        <pic:spPr>
                          <a:xfrm>
                            <a:off x="0" y="0"/>
                            <a:ext cx="3110230" cy="820420"/>
                          </a:xfrm>
                          <a:prstGeom prst="rect">
                            <a:avLst/>
                          </a:prstGeom>
                          <a:noFill/>
                          <a:ln>
                            <a:noFill/>
                          </a:ln>
                        </pic:spPr>
                      </pic:pic>
                    </a:graphicData>
                  </a:graphic>
                </wp:inline>
              </w:drawing>
            </w:r>
          </w:p>
        </w:tc>
      </w:tr>
      <w:tr w14:paraId="5E803E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166A316F">
            <w:r>
              <w:drawing>
                <wp:inline distT="0" distB="0" distL="114300" distR="114300">
                  <wp:extent cx="3105150" cy="556260"/>
                  <wp:effectExtent l="0" t="0" r="0" b="15240"/>
                  <wp:docPr id="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pic:cNvPicPr>
                            <a:picLocks noChangeAspect="1"/>
                          </pic:cNvPicPr>
                        </pic:nvPicPr>
                        <pic:blipFill>
                          <a:blip r:embed="rId65"/>
                          <a:stretch>
                            <a:fillRect/>
                          </a:stretch>
                        </pic:blipFill>
                        <pic:spPr>
                          <a:xfrm>
                            <a:off x="0" y="0"/>
                            <a:ext cx="3105150" cy="556260"/>
                          </a:xfrm>
                          <a:prstGeom prst="rect">
                            <a:avLst/>
                          </a:prstGeom>
                          <a:noFill/>
                          <a:ln>
                            <a:noFill/>
                          </a:ln>
                        </pic:spPr>
                      </pic:pic>
                    </a:graphicData>
                  </a:graphic>
                </wp:inline>
              </w:drawing>
            </w:r>
          </w:p>
        </w:tc>
        <w:tc>
          <w:tcPr>
            <w:tcW w:w="5126" w:type="dxa"/>
          </w:tcPr>
          <w:p w14:paraId="02F7262D">
            <w:r>
              <w:drawing>
                <wp:inline distT="0" distB="0" distL="114300" distR="114300">
                  <wp:extent cx="3105150" cy="556260"/>
                  <wp:effectExtent l="9525" t="9525" r="9525" b="24765"/>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65"/>
                          <a:stretch>
                            <a:fillRect/>
                          </a:stretch>
                        </pic:blipFill>
                        <pic:spPr>
                          <a:xfrm>
                            <a:off x="0" y="0"/>
                            <a:ext cx="3105150" cy="556260"/>
                          </a:xfrm>
                          <a:prstGeom prst="rect">
                            <a:avLst/>
                          </a:prstGeom>
                          <a:noFill/>
                          <a:ln>
                            <a:solidFill>
                              <a:schemeClr val="tx1"/>
                            </a:solidFill>
                          </a:ln>
                        </pic:spPr>
                      </pic:pic>
                    </a:graphicData>
                  </a:graphic>
                </wp:inline>
              </w:drawing>
            </w:r>
          </w:p>
        </w:tc>
      </w:tr>
      <w:tr w14:paraId="20F086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78E3D5E9">
            <w:r>
              <w:drawing>
                <wp:inline distT="0" distB="0" distL="114300" distR="114300">
                  <wp:extent cx="3097530" cy="630555"/>
                  <wp:effectExtent l="0" t="0" r="7620" b="17145"/>
                  <wp:docPr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pic:cNvPicPr>
                            <a:picLocks noChangeAspect="1"/>
                          </pic:cNvPicPr>
                        </pic:nvPicPr>
                        <pic:blipFill>
                          <a:blip r:embed="rId66"/>
                          <a:stretch>
                            <a:fillRect/>
                          </a:stretch>
                        </pic:blipFill>
                        <pic:spPr>
                          <a:xfrm>
                            <a:off x="0" y="0"/>
                            <a:ext cx="3097530" cy="630555"/>
                          </a:xfrm>
                          <a:prstGeom prst="rect">
                            <a:avLst/>
                          </a:prstGeom>
                          <a:noFill/>
                          <a:ln>
                            <a:noFill/>
                          </a:ln>
                        </pic:spPr>
                      </pic:pic>
                    </a:graphicData>
                  </a:graphic>
                </wp:inline>
              </w:drawing>
            </w:r>
          </w:p>
        </w:tc>
        <w:tc>
          <w:tcPr>
            <w:tcW w:w="5126" w:type="dxa"/>
          </w:tcPr>
          <w:p w14:paraId="579241BB">
            <w:r>
              <w:drawing>
                <wp:inline distT="0" distB="0" distL="114300" distR="114300">
                  <wp:extent cx="3115310" cy="887095"/>
                  <wp:effectExtent l="0" t="0" r="8890" b="8255"/>
                  <wp:docPr id="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8"/>
                          <pic:cNvPicPr>
                            <a:picLocks noChangeAspect="1"/>
                          </pic:cNvPicPr>
                        </pic:nvPicPr>
                        <pic:blipFill>
                          <a:blip r:embed="rId67"/>
                          <a:stretch>
                            <a:fillRect/>
                          </a:stretch>
                        </pic:blipFill>
                        <pic:spPr>
                          <a:xfrm>
                            <a:off x="0" y="0"/>
                            <a:ext cx="3115310" cy="887095"/>
                          </a:xfrm>
                          <a:prstGeom prst="rect">
                            <a:avLst/>
                          </a:prstGeom>
                          <a:noFill/>
                          <a:ln>
                            <a:noFill/>
                          </a:ln>
                        </pic:spPr>
                      </pic:pic>
                    </a:graphicData>
                  </a:graphic>
                </wp:inline>
              </w:drawing>
            </w:r>
          </w:p>
        </w:tc>
      </w:tr>
      <w:tr w14:paraId="3C16F7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46767803">
            <w:r>
              <w:drawing>
                <wp:inline distT="0" distB="0" distL="114300" distR="114300">
                  <wp:extent cx="3096895" cy="868680"/>
                  <wp:effectExtent l="0" t="0" r="8255" b="7620"/>
                  <wp:docPr id="1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pic:cNvPicPr>
                            <a:picLocks noChangeAspect="1"/>
                          </pic:cNvPicPr>
                        </pic:nvPicPr>
                        <pic:blipFill>
                          <a:blip r:embed="rId68"/>
                          <a:stretch>
                            <a:fillRect/>
                          </a:stretch>
                        </pic:blipFill>
                        <pic:spPr>
                          <a:xfrm>
                            <a:off x="0" y="0"/>
                            <a:ext cx="3096895" cy="868680"/>
                          </a:xfrm>
                          <a:prstGeom prst="rect">
                            <a:avLst/>
                          </a:prstGeom>
                          <a:noFill/>
                          <a:ln>
                            <a:noFill/>
                          </a:ln>
                        </pic:spPr>
                      </pic:pic>
                    </a:graphicData>
                  </a:graphic>
                </wp:inline>
              </w:drawing>
            </w:r>
          </w:p>
        </w:tc>
        <w:tc>
          <w:tcPr>
            <w:tcW w:w="5126" w:type="dxa"/>
          </w:tcPr>
          <w:p w14:paraId="49E6F377">
            <w:r>
              <w:drawing>
                <wp:inline distT="0" distB="0" distL="114300" distR="114300">
                  <wp:extent cx="3096895" cy="868680"/>
                  <wp:effectExtent l="9525" t="9525" r="17780" b="17145"/>
                  <wp:docPr id="1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pic:cNvPicPr>
                            <a:picLocks noChangeAspect="1"/>
                          </pic:cNvPicPr>
                        </pic:nvPicPr>
                        <pic:blipFill>
                          <a:blip r:embed="rId68"/>
                          <a:stretch>
                            <a:fillRect/>
                          </a:stretch>
                        </pic:blipFill>
                        <pic:spPr>
                          <a:xfrm>
                            <a:off x="0" y="0"/>
                            <a:ext cx="3096895" cy="868680"/>
                          </a:xfrm>
                          <a:prstGeom prst="rect">
                            <a:avLst/>
                          </a:prstGeom>
                          <a:noFill/>
                          <a:ln>
                            <a:solidFill>
                              <a:schemeClr val="tx1"/>
                            </a:solidFill>
                          </a:ln>
                        </pic:spPr>
                      </pic:pic>
                    </a:graphicData>
                  </a:graphic>
                </wp:inline>
              </w:drawing>
            </w:r>
          </w:p>
        </w:tc>
      </w:tr>
      <w:tr w14:paraId="46942C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58104087">
            <w:r>
              <w:drawing>
                <wp:inline distT="0" distB="0" distL="114300" distR="114300">
                  <wp:extent cx="3098800" cy="981075"/>
                  <wp:effectExtent l="0" t="0" r="6350" b="9525"/>
                  <wp:docPr id="1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pic:cNvPicPr>
                            <a:picLocks noChangeAspect="1"/>
                          </pic:cNvPicPr>
                        </pic:nvPicPr>
                        <pic:blipFill>
                          <a:blip r:embed="rId69"/>
                          <a:stretch>
                            <a:fillRect/>
                          </a:stretch>
                        </pic:blipFill>
                        <pic:spPr>
                          <a:xfrm>
                            <a:off x="0" y="0"/>
                            <a:ext cx="3098800" cy="981075"/>
                          </a:xfrm>
                          <a:prstGeom prst="rect">
                            <a:avLst/>
                          </a:prstGeom>
                          <a:noFill/>
                          <a:ln>
                            <a:noFill/>
                          </a:ln>
                        </pic:spPr>
                      </pic:pic>
                    </a:graphicData>
                  </a:graphic>
                </wp:inline>
              </w:drawing>
            </w:r>
          </w:p>
        </w:tc>
        <w:tc>
          <w:tcPr>
            <w:tcW w:w="5126" w:type="dxa"/>
          </w:tcPr>
          <w:p w14:paraId="02886B97">
            <w:r>
              <w:drawing>
                <wp:inline distT="0" distB="0" distL="114300" distR="114300">
                  <wp:extent cx="3108325" cy="1592580"/>
                  <wp:effectExtent l="0" t="0" r="15875" b="7620"/>
                  <wp:docPr id="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pic:cNvPicPr>
                            <a:picLocks noChangeAspect="1"/>
                          </pic:cNvPicPr>
                        </pic:nvPicPr>
                        <pic:blipFill>
                          <a:blip r:embed="rId70"/>
                          <a:stretch>
                            <a:fillRect/>
                          </a:stretch>
                        </pic:blipFill>
                        <pic:spPr>
                          <a:xfrm>
                            <a:off x="0" y="0"/>
                            <a:ext cx="3108325" cy="1592580"/>
                          </a:xfrm>
                          <a:prstGeom prst="rect">
                            <a:avLst/>
                          </a:prstGeom>
                          <a:noFill/>
                          <a:ln>
                            <a:noFill/>
                          </a:ln>
                        </pic:spPr>
                      </pic:pic>
                    </a:graphicData>
                  </a:graphic>
                </wp:inline>
              </w:drawing>
            </w:r>
          </w:p>
        </w:tc>
      </w:tr>
      <w:tr w14:paraId="24D9EA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3D7F6131">
            <w:r>
              <w:drawing>
                <wp:inline distT="0" distB="0" distL="114300" distR="114300">
                  <wp:extent cx="3102610" cy="894080"/>
                  <wp:effectExtent l="0" t="0" r="2540" b="1270"/>
                  <wp:docPr id="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2"/>
                          <pic:cNvPicPr>
                            <a:picLocks noChangeAspect="1"/>
                          </pic:cNvPicPr>
                        </pic:nvPicPr>
                        <pic:blipFill>
                          <a:blip r:embed="rId71"/>
                          <a:stretch>
                            <a:fillRect/>
                          </a:stretch>
                        </pic:blipFill>
                        <pic:spPr>
                          <a:xfrm>
                            <a:off x="0" y="0"/>
                            <a:ext cx="3102610" cy="894080"/>
                          </a:xfrm>
                          <a:prstGeom prst="rect">
                            <a:avLst/>
                          </a:prstGeom>
                          <a:noFill/>
                          <a:ln>
                            <a:noFill/>
                          </a:ln>
                        </pic:spPr>
                      </pic:pic>
                    </a:graphicData>
                  </a:graphic>
                </wp:inline>
              </w:drawing>
            </w:r>
          </w:p>
        </w:tc>
        <w:tc>
          <w:tcPr>
            <w:tcW w:w="5126" w:type="dxa"/>
          </w:tcPr>
          <w:p w14:paraId="5AC07874">
            <w:r>
              <w:drawing>
                <wp:inline distT="0" distB="0" distL="114300" distR="114300">
                  <wp:extent cx="3102610" cy="894080"/>
                  <wp:effectExtent l="9525" t="9525" r="12065" b="10795"/>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71"/>
                          <a:stretch>
                            <a:fillRect/>
                          </a:stretch>
                        </pic:blipFill>
                        <pic:spPr>
                          <a:xfrm>
                            <a:off x="0" y="0"/>
                            <a:ext cx="3102610" cy="894080"/>
                          </a:xfrm>
                          <a:prstGeom prst="rect">
                            <a:avLst/>
                          </a:prstGeom>
                          <a:noFill/>
                          <a:ln>
                            <a:solidFill>
                              <a:schemeClr val="tx1"/>
                            </a:solidFill>
                          </a:ln>
                        </pic:spPr>
                      </pic:pic>
                    </a:graphicData>
                  </a:graphic>
                </wp:inline>
              </w:drawing>
            </w:r>
          </w:p>
        </w:tc>
      </w:tr>
      <w:tr w14:paraId="0EC0D3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56FEAF51">
            <w:r>
              <w:drawing>
                <wp:inline distT="0" distB="0" distL="114300" distR="114300">
                  <wp:extent cx="3098800" cy="782955"/>
                  <wp:effectExtent l="0" t="0" r="6350" b="17145"/>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72"/>
                          <a:stretch>
                            <a:fillRect/>
                          </a:stretch>
                        </pic:blipFill>
                        <pic:spPr>
                          <a:xfrm>
                            <a:off x="0" y="0"/>
                            <a:ext cx="3098800" cy="782955"/>
                          </a:xfrm>
                          <a:prstGeom prst="rect">
                            <a:avLst/>
                          </a:prstGeom>
                          <a:noFill/>
                          <a:ln>
                            <a:noFill/>
                          </a:ln>
                        </pic:spPr>
                      </pic:pic>
                    </a:graphicData>
                  </a:graphic>
                </wp:inline>
              </w:drawing>
            </w:r>
          </w:p>
        </w:tc>
        <w:tc>
          <w:tcPr>
            <w:tcW w:w="5126" w:type="dxa"/>
          </w:tcPr>
          <w:p w14:paraId="03988F5F">
            <w:r>
              <w:drawing>
                <wp:inline distT="0" distB="0" distL="114300" distR="114300">
                  <wp:extent cx="3111500" cy="1678305"/>
                  <wp:effectExtent l="0" t="0" r="12700" b="17145"/>
                  <wp:docPr id="7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7"/>
                          <pic:cNvPicPr>
                            <a:picLocks noChangeAspect="1"/>
                          </pic:cNvPicPr>
                        </pic:nvPicPr>
                        <pic:blipFill>
                          <a:blip r:embed="rId73"/>
                          <a:stretch>
                            <a:fillRect/>
                          </a:stretch>
                        </pic:blipFill>
                        <pic:spPr>
                          <a:xfrm>
                            <a:off x="0" y="0"/>
                            <a:ext cx="3111500" cy="1678305"/>
                          </a:xfrm>
                          <a:prstGeom prst="rect">
                            <a:avLst/>
                          </a:prstGeom>
                          <a:noFill/>
                          <a:ln>
                            <a:noFill/>
                          </a:ln>
                        </pic:spPr>
                      </pic:pic>
                    </a:graphicData>
                  </a:graphic>
                </wp:inline>
              </w:drawing>
            </w:r>
          </w:p>
        </w:tc>
      </w:tr>
      <w:tr w14:paraId="594B5D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168F0F94">
            <w:r>
              <w:drawing>
                <wp:inline distT="0" distB="0" distL="114300" distR="114300">
                  <wp:extent cx="3102610" cy="1786890"/>
                  <wp:effectExtent l="0" t="0" r="2540" b="3810"/>
                  <wp:docPr id="4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5"/>
                          <pic:cNvPicPr>
                            <a:picLocks noChangeAspect="1"/>
                          </pic:cNvPicPr>
                        </pic:nvPicPr>
                        <pic:blipFill>
                          <a:blip r:embed="rId74"/>
                          <a:stretch>
                            <a:fillRect/>
                          </a:stretch>
                        </pic:blipFill>
                        <pic:spPr>
                          <a:xfrm>
                            <a:off x="0" y="0"/>
                            <a:ext cx="3102610" cy="1786890"/>
                          </a:xfrm>
                          <a:prstGeom prst="rect">
                            <a:avLst/>
                          </a:prstGeom>
                          <a:noFill/>
                          <a:ln>
                            <a:noFill/>
                          </a:ln>
                        </pic:spPr>
                      </pic:pic>
                    </a:graphicData>
                  </a:graphic>
                </wp:inline>
              </w:drawing>
            </w:r>
          </w:p>
          <w:p w14:paraId="09556A80">
            <w:r>
              <w:drawing>
                <wp:inline distT="0" distB="0" distL="114300" distR="114300">
                  <wp:extent cx="3100070" cy="1752600"/>
                  <wp:effectExtent l="0" t="0" r="5080" b="0"/>
                  <wp:docPr id="7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6"/>
                          <pic:cNvPicPr>
                            <a:picLocks noChangeAspect="1"/>
                          </pic:cNvPicPr>
                        </pic:nvPicPr>
                        <pic:blipFill>
                          <a:blip r:embed="rId75"/>
                          <a:stretch>
                            <a:fillRect/>
                          </a:stretch>
                        </pic:blipFill>
                        <pic:spPr>
                          <a:xfrm>
                            <a:off x="0" y="0"/>
                            <a:ext cx="3100070" cy="1752600"/>
                          </a:xfrm>
                          <a:prstGeom prst="rect">
                            <a:avLst/>
                          </a:prstGeom>
                          <a:noFill/>
                          <a:ln>
                            <a:noFill/>
                          </a:ln>
                        </pic:spPr>
                      </pic:pic>
                    </a:graphicData>
                  </a:graphic>
                </wp:inline>
              </w:drawing>
            </w:r>
          </w:p>
        </w:tc>
        <w:tc>
          <w:tcPr>
            <w:tcW w:w="5126" w:type="dxa"/>
          </w:tcPr>
          <w:p w14:paraId="2CE359C9">
            <w:r>
              <w:drawing>
                <wp:inline distT="0" distB="0" distL="114300" distR="114300">
                  <wp:extent cx="3102610" cy="1786890"/>
                  <wp:effectExtent l="9525" t="9525" r="12065" b="13335"/>
                  <wp:docPr id="6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5"/>
                          <pic:cNvPicPr>
                            <a:picLocks noChangeAspect="1"/>
                          </pic:cNvPicPr>
                        </pic:nvPicPr>
                        <pic:blipFill>
                          <a:blip r:embed="rId74"/>
                          <a:stretch>
                            <a:fillRect/>
                          </a:stretch>
                        </pic:blipFill>
                        <pic:spPr>
                          <a:xfrm>
                            <a:off x="0" y="0"/>
                            <a:ext cx="3102610" cy="1786890"/>
                          </a:xfrm>
                          <a:prstGeom prst="rect">
                            <a:avLst/>
                          </a:prstGeom>
                          <a:noFill/>
                          <a:ln>
                            <a:solidFill>
                              <a:schemeClr val="tx1"/>
                            </a:solidFill>
                          </a:ln>
                        </pic:spPr>
                      </pic:pic>
                    </a:graphicData>
                  </a:graphic>
                </wp:inline>
              </w:drawing>
            </w:r>
          </w:p>
          <w:p w14:paraId="28F85115">
            <w:r>
              <w:drawing>
                <wp:inline distT="0" distB="0" distL="114300" distR="114300">
                  <wp:extent cx="3100070" cy="1752600"/>
                  <wp:effectExtent l="9525" t="9525" r="14605" b="9525"/>
                  <wp:docPr id="7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6"/>
                          <pic:cNvPicPr>
                            <a:picLocks noChangeAspect="1"/>
                          </pic:cNvPicPr>
                        </pic:nvPicPr>
                        <pic:blipFill>
                          <a:blip r:embed="rId75"/>
                          <a:stretch>
                            <a:fillRect/>
                          </a:stretch>
                        </pic:blipFill>
                        <pic:spPr>
                          <a:xfrm>
                            <a:off x="0" y="0"/>
                            <a:ext cx="3100070" cy="1752600"/>
                          </a:xfrm>
                          <a:prstGeom prst="rect">
                            <a:avLst/>
                          </a:prstGeom>
                          <a:noFill/>
                          <a:ln>
                            <a:solidFill>
                              <a:schemeClr val="tx1"/>
                            </a:solidFill>
                          </a:ln>
                        </pic:spPr>
                      </pic:pic>
                    </a:graphicData>
                  </a:graphic>
                </wp:inline>
              </w:drawing>
            </w:r>
          </w:p>
        </w:tc>
      </w:tr>
      <w:tr w14:paraId="1BF780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3B3CE3E8"/>
        </w:tc>
        <w:tc>
          <w:tcPr>
            <w:tcW w:w="5126" w:type="dxa"/>
          </w:tcPr>
          <w:p w14:paraId="2A00199E">
            <w:r>
              <w:drawing>
                <wp:inline distT="0" distB="0" distL="114300" distR="114300">
                  <wp:extent cx="3111500" cy="1313180"/>
                  <wp:effectExtent l="0" t="0" r="12700" b="1270"/>
                  <wp:docPr id="7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8"/>
                          <pic:cNvPicPr>
                            <a:picLocks noChangeAspect="1"/>
                          </pic:cNvPicPr>
                        </pic:nvPicPr>
                        <pic:blipFill>
                          <a:blip r:embed="rId76"/>
                          <a:stretch>
                            <a:fillRect/>
                          </a:stretch>
                        </pic:blipFill>
                        <pic:spPr>
                          <a:xfrm>
                            <a:off x="0" y="0"/>
                            <a:ext cx="3111500" cy="1313180"/>
                          </a:xfrm>
                          <a:prstGeom prst="rect">
                            <a:avLst/>
                          </a:prstGeom>
                          <a:noFill/>
                          <a:ln>
                            <a:noFill/>
                          </a:ln>
                        </pic:spPr>
                      </pic:pic>
                    </a:graphicData>
                  </a:graphic>
                </wp:inline>
              </w:drawing>
            </w:r>
          </w:p>
          <w:p w14:paraId="60E3902C">
            <w:pPr>
              <w:pStyle w:val="70"/>
              <w:widowControl w:val="0"/>
              <w:ind w:firstLine="360"/>
              <w:rPr>
                <w:rFonts w:ascii="Times New Roman"/>
                <w:sz w:val="18"/>
                <w:szCs w:val="18"/>
                <w:u w:val="single"/>
              </w:rPr>
            </w:pPr>
            <w:r>
              <w:rPr>
                <w:rFonts w:hint="eastAsia" w:ascii="Times New Roman"/>
                <w:sz w:val="18"/>
                <w:szCs w:val="18"/>
                <w:u w:val="single"/>
              </w:rPr>
              <w:t>注：1.</w:t>
            </w:r>
            <w:r>
              <w:rPr>
                <w:rFonts w:ascii="Times New Roman"/>
                <w:sz w:val="18"/>
                <w:szCs w:val="18"/>
                <w:u w:val="single"/>
              </w:rPr>
              <w:t>表中所列设计承载力根据丙类建筑在重力荷载代表值下的竖向压应力限值12MPa计算所得，甲类建筑和丙类建筑应分别按10MPa和15MPa进行换算</w:t>
            </w:r>
            <w:r>
              <w:rPr>
                <w:rFonts w:hint="eastAsia" w:ascii="Times New Roman"/>
                <w:sz w:val="18"/>
                <w:szCs w:val="18"/>
                <w:u w:val="single"/>
              </w:rPr>
              <w:t>。</w:t>
            </w:r>
          </w:p>
          <w:p w14:paraId="151ED6A8">
            <w:pPr>
              <w:numPr>
                <w:ilvl w:val="0"/>
                <w:numId w:val="12"/>
              </w:numPr>
              <w:ind w:firstLine="360" w:firstLineChars="200"/>
              <w:rPr>
                <w:sz w:val="18"/>
                <w:szCs w:val="18"/>
                <w:u w:val="single"/>
              </w:rPr>
            </w:pPr>
            <w:r>
              <w:rPr>
                <w:rFonts w:hint="eastAsia"/>
                <w:sz w:val="18"/>
                <w:szCs w:val="18"/>
                <w:u w:val="single"/>
              </w:rPr>
              <w:t>表中支座总高度为II型支座总高度。</w:t>
            </w:r>
          </w:p>
          <w:p w14:paraId="5B1DA95F">
            <w:pPr>
              <w:rPr>
                <w:sz w:val="18"/>
                <w:szCs w:val="18"/>
              </w:rPr>
            </w:pPr>
          </w:p>
        </w:tc>
      </w:tr>
      <w:tr w14:paraId="582FF9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3" w:hRule="atLeast"/>
          <w:jc w:val="center"/>
        </w:trPr>
        <w:tc>
          <w:tcPr>
            <w:tcW w:w="5108" w:type="dxa"/>
            <w:vAlign w:val="center"/>
          </w:tcPr>
          <w:p w14:paraId="00FBF518"/>
        </w:tc>
        <w:tc>
          <w:tcPr>
            <w:tcW w:w="5126" w:type="dxa"/>
          </w:tcPr>
          <w:p w14:paraId="5CF6518A">
            <w:pPr>
              <w:pStyle w:val="87"/>
              <w:tabs>
                <w:tab w:val="clear" w:pos="1140"/>
              </w:tabs>
              <w:spacing w:before="0" w:after="0"/>
              <w:ind w:left="0" w:firstLine="0"/>
              <w:rPr>
                <w:color w:val="FF0000"/>
                <w:u w:val="single"/>
              </w:rPr>
            </w:pPr>
            <w:r>
              <w:rPr>
                <w:rFonts w:hint="eastAsia"/>
                <w:u w:val="single"/>
              </w:rPr>
              <w:t>附录D</w:t>
            </w:r>
            <w:r>
              <w:rPr>
                <w:rFonts w:cs="Times New Roman"/>
                <w:u w:val="single"/>
              </w:rPr>
              <w:br w:type="textWrapping"/>
            </w:r>
            <w:r>
              <w:rPr>
                <w:rFonts w:hint="eastAsia" w:cs="Times New Roman"/>
                <w:u w:val="single"/>
              </w:rPr>
              <w:t xml:space="preserve"> </w:t>
            </w:r>
            <w:r>
              <w:rPr>
                <w:rFonts w:hint="eastAsia"/>
                <w:u w:val="single"/>
              </w:rPr>
              <w:t>（资料性附录）</w:t>
            </w:r>
            <w:r>
              <w:rPr>
                <w:rFonts w:cs="Times New Roman"/>
                <w:u w:val="single"/>
              </w:rPr>
              <w:br w:type="textWrapping"/>
            </w:r>
            <w:r>
              <w:rPr>
                <w:rFonts w:hint="eastAsia" w:cs="Times New Roman"/>
                <w:u w:val="single"/>
              </w:rPr>
              <w:t>防火技术措施</w:t>
            </w:r>
          </w:p>
          <w:p w14:paraId="38771C41">
            <w:pPr>
              <w:pStyle w:val="150"/>
              <w:ind w:firstLine="0" w:firstLineChars="0"/>
              <w:jc w:val="center"/>
              <w:rPr>
                <w:u w:val="single"/>
              </w:rPr>
            </w:pPr>
          </w:p>
          <w:p w14:paraId="4C83C58D">
            <w:pPr>
              <w:pStyle w:val="150"/>
              <w:ind w:firstLine="0" w:firstLineChars="0"/>
              <w:rPr>
                <w:u w:val="single"/>
              </w:rPr>
            </w:pPr>
            <w:r>
              <w:rPr>
                <w:rFonts w:hint="eastAsia"/>
                <w:u w:val="single"/>
              </w:rPr>
              <w:t>D.1 防火性能</w:t>
            </w:r>
          </w:p>
          <w:p w14:paraId="763E8730">
            <w:pPr>
              <w:ind w:firstLine="420" w:firstLineChars="200"/>
              <w:rPr>
                <w:u w:val="single"/>
              </w:rPr>
            </w:pPr>
            <w:r>
              <w:rPr>
                <w:rFonts w:hint="eastAsia"/>
                <w:u w:val="single"/>
              </w:rPr>
              <w:t>耐火试验后</w:t>
            </w:r>
            <w:r>
              <w:rPr>
                <w:rFonts w:hint="eastAsia" w:cs="宋体"/>
                <w:u w:val="single"/>
              </w:rPr>
              <w:t>，</w:t>
            </w:r>
            <w:r>
              <w:rPr>
                <w:u w:val="single"/>
              </w:rPr>
              <w:t>隔震橡胶支座</w:t>
            </w:r>
            <w:bookmarkStart w:id="9" w:name="_Toc8796_WPSOffice_Level1"/>
            <w:r>
              <w:rPr>
                <w:u w:val="single"/>
              </w:rPr>
              <w:t>受火前后的竖向压缩性能</w:t>
            </w:r>
            <w:bookmarkEnd w:id="9"/>
            <w:r>
              <w:rPr>
                <w:u w:val="single"/>
              </w:rPr>
              <w:t>和水平剪切性能的变化率不大于±15%</w:t>
            </w:r>
            <w:r>
              <w:rPr>
                <w:rFonts w:hint="eastAsia"/>
                <w:u w:val="single"/>
              </w:rPr>
              <w:t>，</w:t>
            </w:r>
            <w:r>
              <w:rPr>
                <w:rFonts w:hint="eastAsia" w:cs="宋体"/>
                <w:u w:val="single"/>
              </w:rPr>
              <w:t>极限剪应变应不小于320%</w:t>
            </w:r>
            <w:r>
              <w:rPr>
                <w:rFonts w:hint="eastAsia"/>
                <w:u w:val="single"/>
              </w:rPr>
              <w:t>。</w:t>
            </w:r>
          </w:p>
          <w:p w14:paraId="57D53BE4">
            <w:pPr>
              <w:rPr>
                <w:u w:val="single"/>
              </w:rPr>
            </w:pPr>
          </w:p>
          <w:p w14:paraId="2A67729F">
            <w:pPr>
              <w:rPr>
                <w:u w:val="single"/>
              </w:rPr>
            </w:pPr>
            <w:r>
              <w:rPr>
                <w:rFonts w:hint="eastAsia"/>
                <w:u w:val="single"/>
              </w:rPr>
              <w:t>D.2 防火试验方法</w:t>
            </w:r>
          </w:p>
          <w:p w14:paraId="5DA4FA9A">
            <w:pPr>
              <w:ind w:firstLine="420" w:firstLineChars="200"/>
              <w:rPr>
                <w:u w:val="single"/>
              </w:rPr>
            </w:pPr>
            <w:r>
              <w:rPr>
                <w:u w:val="single"/>
              </w:rPr>
              <w:t>耐火承载</w:t>
            </w:r>
            <w:r>
              <w:rPr>
                <w:rFonts w:hint="eastAsia"/>
                <w:u w:val="single"/>
              </w:rPr>
              <w:t>性能</w:t>
            </w:r>
            <w:r>
              <w:rPr>
                <w:u w:val="single"/>
              </w:rPr>
              <w:t>试验</w:t>
            </w:r>
            <w:r>
              <w:rPr>
                <w:rFonts w:hint="eastAsia"/>
                <w:u w:val="single"/>
              </w:rPr>
              <w:t>见</w:t>
            </w:r>
            <w:r>
              <w:rPr>
                <w:u w:val="single"/>
              </w:rPr>
              <w:t>图</w:t>
            </w:r>
            <w:r>
              <w:rPr>
                <w:rFonts w:hint="eastAsia"/>
                <w:u w:val="single"/>
              </w:rPr>
              <w:t>D.1</w:t>
            </w:r>
          </w:p>
          <w:p w14:paraId="1D2ED2AB">
            <w:pPr>
              <w:ind w:firstLine="420" w:firstLineChars="200"/>
              <w:rPr>
                <w:u w:val="single"/>
              </w:rPr>
            </w:pPr>
            <w:r>
              <w:rPr>
                <w:u w:val="single"/>
              </w:rPr>
              <w:t>耐火试验使用的试验装置应符合GB</w:t>
            </w:r>
            <w:r>
              <w:rPr>
                <w:rFonts w:hint="eastAsia"/>
                <w:u w:val="single"/>
              </w:rPr>
              <w:t>/T 9978.1中的相关规定。</w:t>
            </w:r>
          </w:p>
          <w:p w14:paraId="2854B31A">
            <w:pPr>
              <w:ind w:firstLine="420" w:firstLineChars="200"/>
              <w:rPr>
                <w:u w:val="single"/>
              </w:rPr>
            </w:pPr>
            <w:r>
              <w:rPr>
                <w:u w:val="single"/>
              </w:rPr>
              <w:t>炉内压差应符合GB/T</w:t>
            </w:r>
            <w:r>
              <w:rPr>
                <w:rFonts w:hint="eastAsia"/>
                <w:u w:val="single"/>
              </w:rPr>
              <w:t xml:space="preserve"> </w:t>
            </w:r>
            <w:r>
              <w:rPr>
                <w:u w:val="single"/>
              </w:rPr>
              <w:t>9978.1中炉内压差相关规定。</w:t>
            </w:r>
          </w:p>
          <w:p w14:paraId="5467C323">
            <w:pPr>
              <w:ind w:firstLine="420" w:firstLineChars="200"/>
              <w:rPr>
                <w:u w:val="single"/>
              </w:rPr>
            </w:pPr>
            <w:r>
              <w:rPr>
                <w:rFonts w:hint="eastAsia"/>
                <w:u w:val="single"/>
              </w:rPr>
              <w:t>耐火</w:t>
            </w:r>
            <w:r>
              <w:rPr>
                <w:u w:val="single"/>
              </w:rPr>
              <w:t>承载</w:t>
            </w:r>
            <w:r>
              <w:rPr>
                <w:rFonts w:hint="eastAsia"/>
                <w:u w:val="single"/>
              </w:rPr>
              <w:t>性能</w:t>
            </w:r>
            <w:r>
              <w:rPr>
                <w:u w:val="single"/>
              </w:rPr>
              <w:t>试验</w:t>
            </w:r>
            <w:r>
              <w:rPr>
                <w:rFonts w:hint="eastAsia"/>
                <w:u w:val="single"/>
              </w:rPr>
              <w:t>或标准缩尺耐火承载隔热性能</w:t>
            </w:r>
            <w:r>
              <w:rPr>
                <w:u w:val="single"/>
              </w:rPr>
              <w:t>试验加载条件应按照GB/T 9978.1</w:t>
            </w:r>
            <w:r>
              <w:rPr>
                <w:rFonts w:hint="eastAsia"/>
                <w:u w:val="single"/>
              </w:rPr>
              <w:t>和</w:t>
            </w:r>
            <w:r>
              <w:rPr>
                <w:u w:val="single"/>
              </w:rPr>
              <w:t>GB/T</w:t>
            </w:r>
            <w:r>
              <w:rPr>
                <w:rFonts w:hint="eastAsia"/>
                <w:u w:val="single"/>
              </w:rPr>
              <w:t xml:space="preserve"> </w:t>
            </w:r>
            <w:r>
              <w:rPr>
                <w:u w:val="single"/>
              </w:rPr>
              <w:t>9978.7</w:t>
            </w:r>
            <w:r>
              <w:rPr>
                <w:rFonts w:hint="eastAsia"/>
                <w:u w:val="single"/>
              </w:rPr>
              <w:t>采用。</w:t>
            </w:r>
          </w:p>
          <w:p w14:paraId="2BB5F5A0">
            <w:pPr>
              <w:ind w:firstLine="420" w:firstLineChars="200"/>
              <w:rPr>
                <w:u w:val="single"/>
              </w:rPr>
            </w:pPr>
            <w:r>
              <w:rPr>
                <w:rFonts w:hint="eastAsia"/>
                <w:u w:val="single"/>
              </w:rPr>
              <w:t>竖向加载荷载可按照GB</w:t>
            </w:r>
            <w:r>
              <w:rPr>
                <w:u w:val="single"/>
              </w:rPr>
              <w:t>/</w:t>
            </w:r>
            <w:r>
              <w:rPr>
                <w:rFonts w:hint="eastAsia"/>
                <w:u w:val="single"/>
              </w:rPr>
              <w:t>T</w:t>
            </w:r>
            <w:r>
              <w:rPr>
                <w:u w:val="single"/>
              </w:rPr>
              <w:t xml:space="preserve"> </w:t>
            </w:r>
            <w:r>
              <w:rPr>
                <w:rFonts w:hint="eastAsia"/>
                <w:u w:val="single"/>
              </w:rPr>
              <w:t>51408</w:t>
            </w:r>
            <w:r>
              <w:rPr>
                <w:u w:val="single"/>
              </w:rPr>
              <w:t>中</w:t>
            </w:r>
            <w:r>
              <w:rPr>
                <w:rFonts w:hint="eastAsia"/>
                <w:u w:val="single"/>
              </w:rPr>
              <w:t>重力荷载代表值下的设计压应力限值取值</w:t>
            </w:r>
            <w:r>
              <w:rPr>
                <w:u w:val="single"/>
              </w:rPr>
              <w:t>。</w:t>
            </w:r>
          </w:p>
          <w:p w14:paraId="7E9CC1C7">
            <w:pPr>
              <w:ind w:firstLine="420" w:firstLineChars="200"/>
              <w:rPr>
                <w:u w:val="single"/>
              </w:rPr>
            </w:pPr>
            <w:r>
              <w:rPr>
                <w:rFonts w:hint="eastAsia"/>
                <w:u w:val="single"/>
              </w:rPr>
              <w:t>进行耐火试验时，受火条件应符合GB/T 9978.1中有关试验条件的升温曲线和炉温偏差等相关规定。</w:t>
            </w:r>
          </w:p>
          <w:p w14:paraId="5EC2FA82">
            <w:pPr>
              <w:pStyle w:val="70"/>
              <w:ind w:firstLine="420"/>
              <w:rPr>
                <w:sz w:val="21"/>
                <w:szCs w:val="21"/>
                <w:u w:val="single"/>
              </w:rPr>
            </w:pPr>
            <w:r>
              <w:rPr>
                <w:rFonts w:hint="eastAsia"/>
                <w:sz w:val="21"/>
                <w:szCs w:val="21"/>
                <w:u w:val="single"/>
              </w:rPr>
              <w:t>试验时首先进行测试支座的竖向刚度、水平等效刚度、等效阻尼比；然后在该支座上下安装混凝土板（外侧面设置隔热棉），支座侧面安装好支座防火保护体系；按</w:t>
            </w:r>
            <w:r>
              <w:rPr>
                <w:rFonts w:hint="eastAsia" w:ascii="Times New Roman"/>
                <w:sz w:val="21"/>
                <w:szCs w:val="21"/>
                <w:u w:val="single"/>
              </w:rPr>
              <w:t xml:space="preserve">GB/T </w:t>
            </w:r>
            <w:r>
              <w:rPr>
                <w:rFonts w:hint="eastAsia"/>
                <w:sz w:val="21"/>
                <w:szCs w:val="21"/>
                <w:u w:val="single"/>
              </w:rPr>
              <w:t>9978.1的标准升温曲线进行升温，进行3小时整体耐火试验。当支座外观出现明显异常或试验曲线异常时（如内层橡胶与内层钢板明显撕开，并且试验曲线上力和位移没有同时上升），视为破坏。</w:t>
            </w:r>
          </w:p>
          <w:p w14:paraId="791139F2">
            <w:pPr>
              <w:ind w:firstLine="420" w:firstLineChars="200"/>
              <w:rPr>
                <w:rFonts w:cs="宋体"/>
                <w:u w:val="single"/>
              </w:rPr>
            </w:pPr>
            <w:r>
              <w:rPr>
                <w:rFonts w:hint="eastAsia"/>
                <w:u w:val="single"/>
              </w:rPr>
              <w:t>耐火试验结束后对该支座进行</w:t>
            </w:r>
            <w:r>
              <w:rPr>
                <w:rFonts w:hint="eastAsia" w:cs="宋体"/>
                <w:u w:val="single"/>
              </w:rPr>
              <w:t>重新测试竖向刚度、水平等效刚度和等效阻尼比，计算耐火试验前后支座性能的变化率。</w:t>
            </w:r>
          </w:p>
          <w:p w14:paraId="24E8E842">
            <w:pPr>
              <w:jc w:val="center"/>
              <w:rPr>
                <w:kern w:val="0"/>
                <w:u w:val="single"/>
              </w:rPr>
            </w:pPr>
            <w:r>
              <w:rPr>
                <w:u w:val="single"/>
              </w:rPr>
              <w:drawing>
                <wp:inline distT="0" distB="0" distL="114300" distR="114300">
                  <wp:extent cx="2628900" cy="2990850"/>
                  <wp:effectExtent l="0" t="0" r="0" b="0"/>
                  <wp:docPr id="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6"/>
                          <pic:cNvPicPr>
                            <a:picLocks noChangeAspect="1"/>
                          </pic:cNvPicPr>
                        </pic:nvPicPr>
                        <pic:blipFill>
                          <a:blip r:embed="rId77"/>
                          <a:stretch>
                            <a:fillRect/>
                          </a:stretch>
                        </pic:blipFill>
                        <pic:spPr>
                          <a:xfrm>
                            <a:off x="0" y="0"/>
                            <a:ext cx="2628900" cy="2990850"/>
                          </a:xfrm>
                          <a:prstGeom prst="rect">
                            <a:avLst/>
                          </a:prstGeom>
                          <a:noFill/>
                          <a:ln>
                            <a:noFill/>
                          </a:ln>
                        </pic:spPr>
                      </pic:pic>
                    </a:graphicData>
                  </a:graphic>
                </wp:inline>
              </w:drawing>
            </w:r>
          </w:p>
          <w:p w14:paraId="162302D2">
            <w:pPr>
              <w:ind w:firstLine="420" w:firstLineChars="200"/>
              <w:rPr>
                <w:sz w:val="18"/>
                <w:szCs w:val="18"/>
              </w:rPr>
            </w:pPr>
            <w:r>
              <w:rPr>
                <w:u w:val="single"/>
              </w:rPr>
              <w:t>图</w:t>
            </w:r>
            <w:r>
              <w:rPr>
                <w:rFonts w:hint="eastAsia"/>
                <w:u w:val="single"/>
              </w:rPr>
              <w:t xml:space="preserve">D.1  </w:t>
            </w:r>
            <w:r>
              <w:rPr>
                <w:u w:val="single"/>
              </w:rPr>
              <w:t>耐火承载</w:t>
            </w:r>
            <w:r>
              <w:rPr>
                <w:rFonts w:hint="eastAsia"/>
                <w:u w:val="single"/>
              </w:rPr>
              <w:t>性能</w:t>
            </w:r>
            <w:r>
              <w:rPr>
                <w:u w:val="single"/>
              </w:rPr>
              <w:t>试验</w:t>
            </w:r>
            <w:r>
              <w:rPr>
                <w:rFonts w:hint="eastAsia"/>
                <w:u w:val="single"/>
              </w:rPr>
              <w:t>试验</w:t>
            </w:r>
            <w:r>
              <w:rPr>
                <w:u w:val="single"/>
              </w:rPr>
              <w:t>示意图</w:t>
            </w:r>
          </w:p>
        </w:tc>
      </w:tr>
    </w:tbl>
    <w:p w14:paraId="438DDF58">
      <w:pPr>
        <w:pStyle w:val="72"/>
        <w:ind w:firstLine="0" w:firstLineChars="0"/>
        <w:rPr>
          <w:bCs/>
          <w:color w:val="FF0000"/>
          <w:sz w:val="18"/>
          <w:szCs w:val="18"/>
          <w:highlight w:val="yellow"/>
        </w:rPr>
      </w:pPr>
    </w:p>
    <w:sectPr>
      <w:headerReference r:id="rId7" w:type="default"/>
      <w:footerReference r:id="rId9" w:type="default"/>
      <w:headerReference r:id="rId8" w:type="even"/>
      <w:footerReference r:id="rId10" w:type="even"/>
      <w:pgSz w:w="11907" w:h="16839"/>
      <w:pgMar w:top="1134" w:right="1418" w:bottom="1418" w:left="1134" w:header="1418" w:footer="851" w:gutter="0"/>
      <w:cols w:space="0" w:num="1"/>
      <w:docGrid w:type="lines" w:linePitch="32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ourier New">
    <w:panose1 w:val="02070309020205020404"/>
    <w:charset w:val="00"/>
    <w:family w:val="modern"/>
    <w:pitch w:val="default"/>
    <w:sig w:usb0="E0002EFF" w:usb1="C0007843" w:usb2="00000009" w:usb3="00000000" w:csb0="400001FF" w:csb1="FFFF0000"/>
  </w:font>
  <w:font w:name="Arial">
    <w:panose1 w:val="020B0604020202020204"/>
    <w:charset w:val="00"/>
    <w:family w:val="swiss"/>
    <w:pitch w:val="default"/>
    <w:sig w:usb0="E0002EFF" w:usb1="C0007843" w:usb2="00000009" w:usb3="00000000" w:csb0="400001FF" w:csb1="FFFF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4DD8E">
    <w:pPr>
      <w:pStyle w:val="64"/>
      <w:rPr>
        <w:rStyle w:val="37"/>
      </w:rPr>
    </w:pPr>
    <w:r>
      <w:rPr>
        <w:rStyle w:val="37"/>
      </w:rPr>
      <w:fldChar w:fldCharType="begin"/>
    </w:r>
    <w:r>
      <w:rPr>
        <w:rStyle w:val="37"/>
      </w:rPr>
      <w:instrText xml:space="preserve">PAGE  </w:instrText>
    </w:r>
    <w:r>
      <w:rPr>
        <w:rStyle w:val="37"/>
      </w:rPr>
      <w:fldChar w:fldCharType="separate"/>
    </w:r>
    <w:r>
      <w:rPr>
        <w:rStyle w:val="37"/>
      </w:rPr>
      <w:t>1</w:t>
    </w:r>
    <w:r>
      <w:rPr>
        <w:rStyle w:val="37"/>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06F08">
    <w:pPr>
      <w:pStyle w:val="24"/>
      <w:framePr w:wrap="around" w:vAnchor="text" w:hAnchor="margin" w:xAlign="right" w:y="1"/>
      <w:rPr>
        <w:rStyle w:val="37"/>
      </w:rPr>
    </w:pPr>
    <w:r>
      <w:rPr>
        <w:rStyle w:val="37"/>
      </w:rPr>
      <w:fldChar w:fldCharType="begin"/>
    </w:r>
    <w:r>
      <w:rPr>
        <w:rStyle w:val="37"/>
      </w:rPr>
      <w:instrText xml:space="preserve">PAGE  </w:instrText>
    </w:r>
    <w:r>
      <w:rPr>
        <w:rStyle w:val="37"/>
      </w:rPr>
      <w:fldChar w:fldCharType="separate"/>
    </w:r>
    <w:r>
      <w:rPr>
        <w:rStyle w:val="37"/>
      </w:rPr>
      <w:t>II</w:t>
    </w:r>
    <w:r>
      <w:rPr>
        <w:rStyle w:val="37"/>
      </w:rPr>
      <w:fldChar w:fldCharType="end"/>
    </w:r>
  </w:p>
  <w:p w14:paraId="758064D6">
    <w:pPr>
      <w:pStyle w:val="2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24D30">
    <w:pPr>
      <w:pStyle w:val="64"/>
      <w:rPr>
        <w:rStyle w:val="37"/>
      </w:rPr>
    </w:pPr>
    <w:r>
      <w:rPr>
        <w:rStyle w:val="37"/>
        <w:kern w:val="2"/>
      </w:rPr>
      <w:fldChar w:fldCharType="begin"/>
    </w:r>
    <w:r>
      <w:rPr>
        <w:rStyle w:val="37"/>
        <w:kern w:val="2"/>
      </w:rPr>
      <w:instrText xml:space="preserve"> PAGE </w:instrText>
    </w:r>
    <w:r>
      <w:rPr>
        <w:rStyle w:val="37"/>
        <w:kern w:val="2"/>
      </w:rPr>
      <w:fldChar w:fldCharType="separate"/>
    </w:r>
    <w:r>
      <w:rPr>
        <w:rStyle w:val="37"/>
        <w:kern w:val="2"/>
      </w:rPr>
      <w:t>19</w:t>
    </w:r>
    <w:r>
      <w:rPr>
        <w:rStyle w:val="37"/>
        <w:kern w:val="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DAE1A">
    <w:pPr>
      <w:pStyle w:val="24"/>
      <w:jc w:val="both"/>
    </w:pPr>
    <w:r>
      <w:rPr>
        <w:rStyle w:val="37"/>
      </w:rPr>
      <w:fldChar w:fldCharType="begin"/>
    </w:r>
    <w:r>
      <w:rPr>
        <w:rStyle w:val="37"/>
      </w:rPr>
      <w:instrText xml:space="preserve"> PAGE </w:instrText>
    </w:r>
    <w:r>
      <w:rPr>
        <w:rStyle w:val="37"/>
      </w:rPr>
      <w:fldChar w:fldCharType="separate"/>
    </w:r>
    <w:r>
      <w:rPr>
        <w:rStyle w:val="37"/>
      </w:rPr>
      <w:t>18</w:t>
    </w:r>
    <w:r>
      <w:rPr>
        <w:rStyle w:val="37"/>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92FEE7">
    <w:pPr>
      <w:pStyle w:val="65"/>
    </w:pPr>
    <w:r>
      <w:t>JG/T 5028—××××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C38E4">
    <w:pPr>
      <w:pStyle w:val="65"/>
      <w:ind w:right="105"/>
    </w:pPr>
    <w:r>
      <w:rPr>
        <w:rFonts w:ascii="黑体" w:cs="黑体"/>
      </w:rPr>
      <w:t xml:space="preserve">JG </w:t>
    </w:r>
    <w:r>
      <w:t>××××</w:t>
    </w:r>
    <w:r>
      <w:rPr>
        <w:rFonts w:ascii="黑体"/>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74B24">
    <w:pPr>
      <w:pStyle w:val="65"/>
      <w:ind w:right="105"/>
      <w:rPr>
        <w:rFonts w:ascii="黑体"/>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E5B82">
    <w:pPr>
      <w:pStyle w:val="25"/>
      <w:numPr>
        <w:ilvl w:val="6"/>
        <w:numId w:val="0"/>
      </w:numP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00D29E"/>
    <w:multiLevelType w:val="singleLevel"/>
    <w:tmpl w:val="C400D29E"/>
    <w:lvl w:ilvl="0" w:tentative="0">
      <w:start w:val="2"/>
      <w:numFmt w:val="decimal"/>
      <w:lvlText w:val="%1."/>
      <w:lvlJc w:val="left"/>
      <w:pPr>
        <w:tabs>
          <w:tab w:val="left" w:pos="312"/>
        </w:tabs>
      </w:pPr>
    </w:lvl>
  </w:abstractNum>
  <w:abstractNum w:abstractNumId="1">
    <w:nsid w:val="0AE367E9"/>
    <w:multiLevelType w:val="multilevel"/>
    <w:tmpl w:val="0AE367E9"/>
    <w:lvl w:ilvl="0" w:tentative="0">
      <w:start w:val="1"/>
      <w:numFmt w:val="none"/>
      <w:pStyle w:val="109"/>
      <w:lvlText w:val="%1示例"/>
      <w:lvlJc w:val="left"/>
      <w:pPr>
        <w:tabs>
          <w:tab w:val="left" w:pos="1120"/>
        </w:tabs>
        <w:ind w:firstLine="400"/>
      </w:pPr>
      <w:rPr>
        <w:rFonts w:hint="eastAsia" w:ascii="宋体" w:eastAsia="宋体" w:cs="Times New Roman"/>
        <w:b w:val="0"/>
        <w:bCs w:val="0"/>
        <w:i w:val="0"/>
        <w:iCs w:val="0"/>
        <w:sz w:val="18"/>
        <w:szCs w:val="18"/>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
    <w:nsid w:val="140071F5"/>
    <w:multiLevelType w:val="multilevel"/>
    <w:tmpl w:val="140071F5"/>
    <w:lvl w:ilvl="0" w:tentative="0">
      <w:start w:val="1"/>
      <w:numFmt w:val="upperLetter"/>
      <w:suff w:val="nothing"/>
      <w:lvlText w:val="附　录　%1"/>
      <w:lvlJc w:val="left"/>
      <w:rPr>
        <w:rFonts w:hint="eastAsia" w:ascii="黑体" w:hAnsi="Times New Roman" w:eastAsia="黑体" w:cs="Times New Roman"/>
        <w:b w:val="0"/>
        <w:bCs w:val="0"/>
        <w:i w:val="0"/>
        <w:iCs w:val="0"/>
        <w:sz w:val="21"/>
        <w:szCs w:val="21"/>
      </w:rPr>
    </w:lvl>
    <w:lvl w:ilvl="1" w:tentative="0">
      <w:start w:val="1"/>
      <w:numFmt w:val="decimal"/>
      <w:suff w:val="nothing"/>
      <w:lvlText w:val="%1.%2　"/>
      <w:lvlJc w:val="left"/>
      <w:rPr>
        <w:rFonts w:hint="eastAsia" w:ascii="黑体" w:hAnsi="Times New Roman" w:eastAsia="黑体" w:cs="Times New Roman"/>
        <w:b w:val="0"/>
        <w:bCs w:val="0"/>
        <w:i w:val="0"/>
        <w:iCs w:val="0"/>
        <w:snapToGrid/>
        <w:spacing w:val="0"/>
        <w:w w:val="100"/>
        <w:kern w:val="21"/>
        <w:sz w:val="21"/>
        <w:szCs w:val="21"/>
      </w:rPr>
    </w:lvl>
    <w:lvl w:ilvl="2" w:tentative="0">
      <w:start w:val="1"/>
      <w:numFmt w:val="decimal"/>
      <w:pStyle w:val="160"/>
      <w:suff w:val="nothing"/>
      <w:lvlText w:val="%1.%2.%3　"/>
      <w:lvlJc w:val="left"/>
      <w:rPr>
        <w:rFonts w:hint="eastAsia" w:ascii="黑体" w:hAnsi="Times New Roman" w:eastAsia="黑体" w:cs="Times New Roman"/>
        <w:b w:val="0"/>
        <w:bCs w:val="0"/>
        <w:i w:val="0"/>
        <w:iCs w:val="0"/>
        <w:sz w:val="21"/>
        <w:szCs w:val="21"/>
      </w:rPr>
    </w:lvl>
    <w:lvl w:ilvl="3" w:tentative="0">
      <w:start w:val="1"/>
      <w:numFmt w:val="decimal"/>
      <w:suff w:val="nothing"/>
      <w:lvlText w:val="%1.%2.%3.%4　"/>
      <w:lvlJc w:val="left"/>
      <w:rPr>
        <w:rFonts w:hint="eastAsia" w:ascii="黑体" w:hAnsi="Times New Roman" w:eastAsia="黑体" w:cs="Times New Roman"/>
        <w:b w:val="0"/>
        <w:bCs w:val="0"/>
        <w:i w:val="0"/>
        <w:iCs w:val="0"/>
        <w:sz w:val="21"/>
        <w:szCs w:val="21"/>
      </w:rPr>
    </w:lvl>
    <w:lvl w:ilvl="4" w:tentative="0">
      <w:start w:val="1"/>
      <w:numFmt w:val="decimal"/>
      <w:suff w:val="nothing"/>
      <w:lvlText w:val="%1.%2.%3.%4.%5　"/>
      <w:lvlJc w:val="left"/>
      <w:rPr>
        <w:rFonts w:hint="eastAsia" w:ascii="黑体" w:hAnsi="Times New Roman" w:eastAsia="黑体" w:cs="Times New Roman"/>
        <w:b w:val="0"/>
        <w:bCs w:val="0"/>
        <w:i w:val="0"/>
        <w:iCs w:val="0"/>
        <w:sz w:val="21"/>
        <w:szCs w:val="21"/>
      </w:rPr>
    </w:lvl>
    <w:lvl w:ilvl="5" w:tentative="0">
      <w:start w:val="1"/>
      <w:numFmt w:val="decimal"/>
      <w:suff w:val="nothing"/>
      <w:lvlText w:val="%1.%2.%3.%4.%5.%6　"/>
      <w:lvlJc w:val="left"/>
      <w:rPr>
        <w:rFonts w:hint="eastAsia" w:ascii="黑体" w:hAnsi="Times New Roman" w:eastAsia="黑体" w:cs="Times New Roman"/>
        <w:b w:val="0"/>
        <w:bCs w:val="0"/>
        <w:i w:val="0"/>
        <w:iCs w:val="0"/>
        <w:sz w:val="21"/>
        <w:szCs w:val="21"/>
      </w:rPr>
    </w:lvl>
    <w:lvl w:ilvl="6" w:tentative="0">
      <w:start w:val="1"/>
      <w:numFmt w:val="decimal"/>
      <w:suff w:val="nothing"/>
      <w:lvlText w:val="%1.%2.%3.%4.%5.%6.%7　"/>
      <w:lvlJc w:val="left"/>
      <w:rPr>
        <w:rFonts w:hint="eastAsia" w:ascii="黑体" w:hAnsi="Times New Roman" w:eastAsia="黑体" w:cs="Times New Roman"/>
        <w:b w:val="0"/>
        <w:bCs w:val="0"/>
        <w:i w:val="0"/>
        <w:iCs w:val="0"/>
        <w:sz w:val="21"/>
        <w:szCs w:val="21"/>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abstractNum w:abstractNumId="3">
    <w:nsid w:val="1A236DFF"/>
    <w:multiLevelType w:val="multilevel"/>
    <w:tmpl w:val="1A236DFF"/>
    <w:lvl w:ilvl="0" w:tentative="0">
      <w:start w:val="1"/>
      <w:numFmt w:val="lowerLetter"/>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38BC5142"/>
    <w:multiLevelType w:val="multilevel"/>
    <w:tmpl w:val="38BC5142"/>
    <w:lvl w:ilvl="0" w:tentative="0">
      <w:start w:val="1"/>
      <w:numFmt w:val="none"/>
      <w:pStyle w:val="68"/>
      <w:suff w:val="nothing"/>
      <w:lvlText w:val="%1"/>
      <w:lvlJc w:val="left"/>
      <w:rPr>
        <w:rFonts w:hint="default" w:ascii="Times New Roman" w:hAnsi="Times New Roman" w:cs="Times New Roman"/>
        <w:b/>
        <w:bCs/>
        <w:i w:val="0"/>
        <w:iCs w:val="0"/>
        <w:sz w:val="21"/>
        <w:szCs w:val="21"/>
      </w:rPr>
    </w:lvl>
    <w:lvl w:ilvl="1" w:tentative="0">
      <w:start w:val="1"/>
      <w:numFmt w:val="decimal"/>
      <w:pStyle w:val="71"/>
      <w:suff w:val="nothing"/>
      <w:lvlText w:val="%1%2　"/>
      <w:lvlJc w:val="left"/>
      <w:rPr>
        <w:rFonts w:hint="eastAsia" w:ascii="黑体" w:hAnsi="Times New Roman" w:eastAsia="黑体" w:cs="Times New Roman"/>
        <w:b w:val="0"/>
        <w:bCs w:val="0"/>
        <w:i w:val="0"/>
        <w:iCs w:val="0"/>
        <w:sz w:val="21"/>
        <w:szCs w:val="21"/>
      </w:rPr>
    </w:lvl>
    <w:lvl w:ilvl="2" w:tentative="0">
      <w:start w:val="1"/>
      <w:numFmt w:val="decimal"/>
      <w:pStyle w:val="73"/>
      <w:suff w:val="nothing"/>
      <w:lvlText w:val="%1%2.%3　"/>
      <w:lvlJc w:val="left"/>
      <w:rPr>
        <w:rFonts w:hint="eastAsia" w:ascii="黑体" w:hAnsi="Times New Roman" w:eastAsia="黑体" w:cs="Times New Roman"/>
        <w:b w:val="0"/>
        <w:bCs w:val="0"/>
        <w:i w:val="0"/>
        <w:iCs w:val="0"/>
        <w:sz w:val="21"/>
        <w:szCs w:val="21"/>
      </w:rPr>
    </w:lvl>
    <w:lvl w:ilvl="3" w:tentative="0">
      <w:start w:val="1"/>
      <w:numFmt w:val="decimal"/>
      <w:pStyle w:val="74"/>
      <w:suff w:val="nothing"/>
      <w:lvlText w:val="%1%2.%3.%4　"/>
      <w:lvlJc w:val="left"/>
      <w:rPr>
        <w:rFonts w:hint="eastAsia" w:ascii="黑体" w:hAnsi="Times New Roman" w:eastAsia="黑体" w:cs="Times New Roman"/>
        <w:b w:val="0"/>
        <w:bCs w:val="0"/>
        <w:i w:val="0"/>
        <w:iCs w:val="0"/>
        <w:sz w:val="21"/>
        <w:szCs w:val="21"/>
      </w:rPr>
    </w:lvl>
    <w:lvl w:ilvl="4" w:tentative="0">
      <w:start w:val="1"/>
      <w:numFmt w:val="decimal"/>
      <w:pStyle w:val="106"/>
      <w:suff w:val="nothing"/>
      <w:lvlText w:val="%1%2.%3.%4.%5　"/>
      <w:lvlJc w:val="left"/>
      <w:pPr>
        <w:ind w:left="420"/>
      </w:pPr>
      <w:rPr>
        <w:rFonts w:hint="eastAsia" w:ascii="黑体" w:hAnsi="Times New Roman" w:eastAsia="黑体" w:cs="Times New Roman"/>
        <w:b w:val="0"/>
        <w:bCs w:val="0"/>
        <w:i w:val="0"/>
        <w:iCs w:val="0"/>
        <w:sz w:val="21"/>
        <w:szCs w:val="21"/>
      </w:rPr>
    </w:lvl>
    <w:lvl w:ilvl="5" w:tentative="0">
      <w:start w:val="1"/>
      <w:numFmt w:val="decimal"/>
      <w:pStyle w:val="111"/>
      <w:suff w:val="nothing"/>
      <w:lvlText w:val="%1%2.%3.%4.%5.%6　"/>
      <w:lvlJc w:val="left"/>
      <w:rPr>
        <w:rFonts w:hint="eastAsia" w:ascii="黑体" w:hAnsi="Times New Roman" w:eastAsia="黑体" w:cs="Times New Roman"/>
        <w:b w:val="0"/>
        <w:bCs w:val="0"/>
        <w:i w:val="0"/>
        <w:iCs w:val="0"/>
        <w:sz w:val="21"/>
        <w:szCs w:val="21"/>
      </w:rPr>
    </w:lvl>
    <w:lvl w:ilvl="6" w:tentative="0">
      <w:start w:val="1"/>
      <w:numFmt w:val="decimal"/>
      <w:pStyle w:val="25"/>
      <w:suff w:val="nothing"/>
      <w:lvlText w:val="%1%2.%3.%4.%5.%6.%7　"/>
      <w:lvlJc w:val="left"/>
      <w:pPr>
        <w:ind w:left="7516"/>
      </w:pPr>
      <w:rPr>
        <w:rFonts w:hint="eastAsia" w:ascii="黑体" w:hAnsi="Times New Roman" w:eastAsia="黑体" w:cs="Times New Roman"/>
        <w:b w:val="0"/>
        <w:bCs w:val="0"/>
        <w:i w:val="0"/>
        <w:iCs w:val="0"/>
        <w:sz w:val="21"/>
        <w:szCs w:val="21"/>
      </w:rPr>
    </w:lvl>
    <w:lvl w:ilvl="7" w:tentative="0">
      <w:start w:val="1"/>
      <w:numFmt w:val="decimal"/>
      <w:lvlText w:val="%1.%2.%3.%4.%5.%6.%7.%8"/>
      <w:lvlJc w:val="left"/>
      <w:pPr>
        <w:tabs>
          <w:tab w:val="left" w:pos="4351"/>
        </w:tabs>
        <w:ind w:left="3969" w:hanging="1418"/>
      </w:pPr>
      <w:rPr>
        <w:rFonts w:hint="eastAsia" w:cs="Times New Roman"/>
      </w:rPr>
    </w:lvl>
    <w:lvl w:ilvl="8" w:tentative="0">
      <w:start w:val="1"/>
      <w:numFmt w:val="decimal"/>
      <w:lvlText w:val="%1.%2.%3.%4.%5.%6.%7.%8.%9"/>
      <w:lvlJc w:val="left"/>
      <w:pPr>
        <w:tabs>
          <w:tab w:val="left" w:pos="4777"/>
        </w:tabs>
        <w:ind w:left="4677" w:hanging="1700"/>
      </w:pPr>
      <w:rPr>
        <w:rFonts w:hint="eastAsia" w:cs="Times New Roman"/>
      </w:rPr>
    </w:lvl>
  </w:abstractNum>
  <w:abstractNum w:abstractNumId="5">
    <w:nsid w:val="46806F7D"/>
    <w:multiLevelType w:val="multilevel"/>
    <w:tmpl w:val="46806F7D"/>
    <w:lvl w:ilvl="0" w:tentative="0">
      <w:start w:val="1"/>
      <w:numFmt w:val="none"/>
      <w:pStyle w:val="94"/>
      <w:lvlText w:val="图"/>
      <w:lvlJc w:val="left"/>
      <w:pPr>
        <w:tabs>
          <w:tab w:val="left" w:pos="360"/>
        </w:tabs>
      </w:pPr>
      <w:rPr>
        <w:rFonts w:hint="eastAsia" w:ascii="黑体" w:eastAsia="黑体" w:cs="Times New Roman"/>
        <w:b w:val="0"/>
        <w:bCs w:val="0"/>
        <w:i w:val="0"/>
        <w:iCs w:val="0"/>
        <w:sz w:val="21"/>
        <w:szCs w:val="21"/>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6">
    <w:nsid w:val="46D22D8F"/>
    <w:multiLevelType w:val="multilevel"/>
    <w:tmpl w:val="46D22D8F"/>
    <w:lvl w:ilvl="0" w:tentative="0">
      <w:start w:val="1"/>
      <w:numFmt w:val="none"/>
      <w:pStyle w:val="121"/>
      <w:lvlText w:val="%1◆　"/>
      <w:lvlJc w:val="left"/>
      <w:pPr>
        <w:tabs>
          <w:tab w:val="left" w:pos="960"/>
        </w:tabs>
        <w:ind w:left="917" w:hanging="317"/>
      </w:pPr>
      <w:rPr>
        <w:rFonts w:hint="eastAsia" w:ascii="宋体" w:hAnsi="Times New Roman" w:eastAsia="宋体" w:cs="Times New Roman"/>
        <w:b w:val="0"/>
        <w:bCs w:val="0"/>
        <w:i w:val="0"/>
        <w:iCs w:val="0"/>
        <w:position w:val="4"/>
        <w:sz w:val="11"/>
        <w:szCs w:val="11"/>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7">
    <w:nsid w:val="4F302902"/>
    <w:multiLevelType w:val="multilevel"/>
    <w:tmpl w:val="4F302902"/>
    <w:lvl w:ilvl="0" w:tentative="0">
      <w:start w:val="1"/>
      <w:numFmt w:val="none"/>
      <w:pStyle w:val="88"/>
      <w:lvlText w:val="表"/>
      <w:lvlJc w:val="left"/>
      <w:pPr>
        <w:tabs>
          <w:tab w:val="left" w:pos="360"/>
        </w:tabs>
      </w:pPr>
      <w:rPr>
        <w:rFonts w:hint="eastAsia" w:ascii="黑体" w:eastAsia="黑体" w:cs="Times New Roman"/>
        <w:b w:val="0"/>
        <w:bCs w:val="0"/>
        <w:i w:val="0"/>
        <w:iCs w:val="0"/>
        <w:sz w:val="21"/>
        <w:szCs w:val="21"/>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8">
    <w:nsid w:val="6350366A"/>
    <w:multiLevelType w:val="multilevel"/>
    <w:tmpl w:val="6350366A"/>
    <w:lvl w:ilvl="0" w:tentative="0">
      <w:start w:val="1"/>
      <w:numFmt w:val="none"/>
      <w:pStyle w:val="100"/>
      <w:lvlText w:val="%1●　"/>
      <w:lvlJc w:val="left"/>
      <w:pPr>
        <w:tabs>
          <w:tab w:val="left" w:pos="760"/>
        </w:tabs>
        <w:ind w:left="717" w:hanging="317"/>
      </w:pPr>
      <w:rPr>
        <w:rFonts w:hint="eastAsia" w:ascii="宋体" w:hAnsi="Times New Roman" w:eastAsia="宋体" w:cs="Times New Roman"/>
        <w:b w:val="0"/>
        <w:bCs w:val="0"/>
        <w:i w:val="0"/>
        <w:iCs w:val="0"/>
        <w:position w:val="4"/>
        <w:sz w:val="13"/>
        <w:szCs w:val="13"/>
      </w:rPr>
    </w:lvl>
    <w:lvl w:ilvl="1" w:tentative="0">
      <w:start w:val="1"/>
      <w:numFmt w:val="lowerLetter"/>
      <w:lvlText w:val="%2)"/>
      <w:lvlJc w:val="left"/>
      <w:pPr>
        <w:tabs>
          <w:tab w:val="left" w:pos="780"/>
        </w:tabs>
        <w:ind w:left="780" w:hanging="360"/>
      </w:pPr>
      <w:rPr>
        <w:rFonts w:hint="eastAsia" w:cs="Times New Roman"/>
      </w:rPr>
    </w:lvl>
    <w:lvl w:ilvl="2" w:tentative="0">
      <w:start w:val="1"/>
      <w:numFmt w:val="decimal"/>
      <w:lvlText w:val="%3)"/>
      <w:lvlJc w:val="left"/>
      <w:pPr>
        <w:tabs>
          <w:tab w:val="left" w:pos="1200"/>
        </w:tabs>
        <w:ind w:left="1200" w:hanging="360"/>
      </w:pPr>
      <w:rPr>
        <w:rFonts w:hint="eastAsia"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9">
    <w:nsid w:val="657D3FBC"/>
    <w:multiLevelType w:val="multilevel"/>
    <w:tmpl w:val="657D3FBC"/>
    <w:lvl w:ilvl="0" w:tentative="0">
      <w:start w:val="1"/>
      <w:numFmt w:val="upperLetter"/>
      <w:suff w:val="nothing"/>
      <w:lvlText w:val="附　录　%1"/>
      <w:lvlJc w:val="left"/>
      <w:rPr>
        <w:rFonts w:hint="eastAsia" w:ascii="黑体" w:hAnsi="Times New Roman" w:eastAsia="黑体" w:cs="Times New Roman"/>
        <w:b w:val="0"/>
        <w:bCs w:val="0"/>
        <w:i w:val="0"/>
        <w:iCs w:val="0"/>
        <w:sz w:val="21"/>
        <w:szCs w:val="21"/>
      </w:rPr>
    </w:lvl>
    <w:lvl w:ilvl="1" w:tentative="0">
      <w:start w:val="1"/>
      <w:numFmt w:val="decimal"/>
      <w:pStyle w:val="90"/>
      <w:suff w:val="nothing"/>
      <w:lvlText w:val="%1.%2　"/>
      <w:lvlJc w:val="left"/>
      <w:rPr>
        <w:rFonts w:hint="eastAsia" w:ascii="黑体" w:hAnsi="Times New Roman" w:eastAsia="黑体" w:cs="Times New Roman"/>
        <w:b w:val="0"/>
        <w:bCs w:val="0"/>
        <w:i w:val="0"/>
        <w:iCs w:val="0"/>
        <w:snapToGrid/>
        <w:spacing w:val="0"/>
        <w:w w:val="100"/>
        <w:kern w:val="21"/>
        <w:sz w:val="21"/>
        <w:szCs w:val="21"/>
      </w:rPr>
    </w:lvl>
    <w:lvl w:ilvl="2" w:tentative="0">
      <w:start w:val="1"/>
      <w:numFmt w:val="decimal"/>
      <w:pStyle w:val="91"/>
      <w:suff w:val="nothing"/>
      <w:lvlText w:val="%1.%2.%3　"/>
      <w:lvlJc w:val="left"/>
      <w:rPr>
        <w:rFonts w:hint="eastAsia" w:ascii="黑体" w:hAnsi="Times New Roman" w:eastAsia="黑体" w:cs="Times New Roman"/>
        <w:b w:val="0"/>
        <w:bCs w:val="0"/>
        <w:i w:val="0"/>
        <w:iCs w:val="0"/>
        <w:sz w:val="21"/>
        <w:szCs w:val="21"/>
      </w:rPr>
    </w:lvl>
    <w:lvl w:ilvl="3" w:tentative="0">
      <w:start w:val="1"/>
      <w:numFmt w:val="decimal"/>
      <w:pStyle w:val="92"/>
      <w:suff w:val="nothing"/>
      <w:lvlText w:val="%1.%2.%3.%4　"/>
      <w:lvlJc w:val="left"/>
      <w:rPr>
        <w:rFonts w:hint="eastAsia" w:ascii="黑体" w:hAnsi="Times New Roman" w:eastAsia="黑体" w:cs="Times New Roman"/>
        <w:b w:val="0"/>
        <w:bCs w:val="0"/>
        <w:i w:val="0"/>
        <w:iCs w:val="0"/>
        <w:sz w:val="21"/>
        <w:szCs w:val="21"/>
      </w:rPr>
    </w:lvl>
    <w:lvl w:ilvl="4" w:tentative="0">
      <w:start w:val="1"/>
      <w:numFmt w:val="decimal"/>
      <w:pStyle w:val="93"/>
      <w:suff w:val="nothing"/>
      <w:lvlText w:val="%1.%2.%3.%4.%5　"/>
      <w:lvlJc w:val="left"/>
      <w:rPr>
        <w:rFonts w:hint="eastAsia" w:ascii="黑体" w:hAnsi="Times New Roman" w:eastAsia="黑体" w:cs="Times New Roman"/>
        <w:b w:val="0"/>
        <w:bCs w:val="0"/>
        <w:i w:val="0"/>
        <w:iCs w:val="0"/>
        <w:sz w:val="21"/>
        <w:szCs w:val="21"/>
      </w:rPr>
    </w:lvl>
    <w:lvl w:ilvl="5" w:tentative="0">
      <w:start w:val="1"/>
      <w:numFmt w:val="decimal"/>
      <w:suff w:val="nothing"/>
      <w:lvlText w:val="%1.%2.%3.%4.%5.%6　"/>
      <w:lvlJc w:val="left"/>
      <w:rPr>
        <w:rFonts w:hint="eastAsia" w:ascii="黑体" w:hAnsi="Times New Roman" w:eastAsia="黑体" w:cs="Times New Roman"/>
        <w:b w:val="0"/>
        <w:bCs w:val="0"/>
        <w:i w:val="0"/>
        <w:iCs w:val="0"/>
        <w:sz w:val="21"/>
        <w:szCs w:val="21"/>
      </w:rPr>
    </w:lvl>
    <w:lvl w:ilvl="6" w:tentative="0">
      <w:start w:val="1"/>
      <w:numFmt w:val="decimal"/>
      <w:suff w:val="nothing"/>
      <w:lvlText w:val="%1.%2.%3.%4.%5.%6.%7　"/>
      <w:lvlJc w:val="left"/>
      <w:rPr>
        <w:rFonts w:hint="eastAsia" w:ascii="黑体" w:hAnsi="Times New Roman" w:eastAsia="黑体" w:cs="Times New Roman"/>
        <w:b w:val="0"/>
        <w:bCs w:val="0"/>
        <w:i w:val="0"/>
        <w:iCs w:val="0"/>
        <w:sz w:val="21"/>
        <w:szCs w:val="21"/>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abstractNum w:abstractNumId="10">
    <w:nsid w:val="6DBF04F4"/>
    <w:multiLevelType w:val="multilevel"/>
    <w:tmpl w:val="6DBF04F4"/>
    <w:lvl w:ilvl="0" w:tentative="0">
      <w:start w:val="1"/>
      <w:numFmt w:val="none"/>
      <w:pStyle w:val="122"/>
      <w:lvlText w:val="%1注："/>
      <w:lvlJc w:val="left"/>
      <w:pPr>
        <w:tabs>
          <w:tab w:val="left" w:pos="1140"/>
        </w:tabs>
        <w:ind w:left="840" w:hanging="420"/>
      </w:pPr>
      <w:rPr>
        <w:rFonts w:hint="eastAsia" w:ascii="宋体" w:hAnsi="Times New Roman" w:eastAsia="宋体" w:cs="Times New Roman"/>
        <w:b w:val="0"/>
        <w:bCs w:val="0"/>
        <w:i w:val="0"/>
        <w:iCs w:val="0"/>
        <w:sz w:val="18"/>
        <w:szCs w:val="18"/>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1">
    <w:nsid w:val="76933334"/>
    <w:multiLevelType w:val="multilevel"/>
    <w:tmpl w:val="76933334"/>
    <w:lvl w:ilvl="0" w:tentative="0">
      <w:start w:val="1"/>
      <w:numFmt w:val="none"/>
      <w:pStyle w:val="99"/>
      <w:lvlText w:val="%1——"/>
      <w:lvlJc w:val="left"/>
      <w:pPr>
        <w:tabs>
          <w:tab w:val="left" w:pos="1140"/>
        </w:tabs>
        <w:ind w:left="840" w:hanging="420"/>
      </w:pPr>
      <w:rPr>
        <w:rFonts w:hint="eastAsia"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num w:numId="1">
    <w:abstractNumId w:val="4"/>
  </w:num>
  <w:num w:numId="2">
    <w:abstractNumId w:val="7"/>
  </w:num>
  <w:num w:numId="3">
    <w:abstractNumId w:val="9"/>
  </w:num>
  <w:num w:numId="4">
    <w:abstractNumId w:val="5"/>
  </w:num>
  <w:num w:numId="5">
    <w:abstractNumId w:val="11"/>
  </w:num>
  <w:num w:numId="6">
    <w:abstractNumId w:val="8"/>
  </w:num>
  <w:num w:numId="7">
    <w:abstractNumId w:val="1"/>
  </w:num>
  <w:num w:numId="8">
    <w:abstractNumId w:val="6"/>
  </w:num>
  <w:num w:numId="9">
    <w:abstractNumId w:val="10"/>
  </w:num>
  <w:num w:numId="10">
    <w:abstractNumId w:val="2"/>
  </w:num>
  <w:num w:numId="11">
    <w:abstractNumId w:val="3"/>
  </w:num>
  <w:num w:numId="1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zz">
    <w15:presenceInfo w15:providerId="None" w15:userId="cz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1"/>
  <w:bordersDoNotSurroundFooter w:val="1"/>
  <w:doNotTrackMoves/>
  <w:documentProtection w:enforcement="0"/>
  <w:defaultTabStop w:val="420"/>
  <w:doNotHyphenateCaps/>
  <w:evenAndOddHeaders w:val="1"/>
  <w:drawingGridHorizontalSpacing w:val="105"/>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Q1ZTk4OWZmZTI2ZDdiNzlhY2RjNmYxYjc2MWU3YjAifQ=="/>
  </w:docVars>
  <w:rsids>
    <w:rsidRoot w:val="00172A27"/>
    <w:rsid w:val="00001661"/>
    <w:rsid w:val="000027C3"/>
    <w:rsid w:val="00002B41"/>
    <w:rsid w:val="00003CE4"/>
    <w:rsid w:val="000043A6"/>
    <w:rsid w:val="00007B8F"/>
    <w:rsid w:val="000104FD"/>
    <w:rsid w:val="000105BB"/>
    <w:rsid w:val="00010E32"/>
    <w:rsid w:val="000118A5"/>
    <w:rsid w:val="00011B76"/>
    <w:rsid w:val="00011D5A"/>
    <w:rsid w:val="0001225B"/>
    <w:rsid w:val="00012C47"/>
    <w:rsid w:val="00013477"/>
    <w:rsid w:val="000140E1"/>
    <w:rsid w:val="000142A7"/>
    <w:rsid w:val="00014795"/>
    <w:rsid w:val="000153EF"/>
    <w:rsid w:val="000158E8"/>
    <w:rsid w:val="000163EA"/>
    <w:rsid w:val="000166A8"/>
    <w:rsid w:val="000179FB"/>
    <w:rsid w:val="00020935"/>
    <w:rsid w:val="0002141D"/>
    <w:rsid w:val="00022008"/>
    <w:rsid w:val="00022249"/>
    <w:rsid w:val="00023FF2"/>
    <w:rsid w:val="000258DF"/>
    <w:rsid w:val="000259E3"/>
    <w:rsid w:val="00026700"/>
    <w:rsid w:val="0002688F"/>
    <w:rsid w:val="000270FA"/>
    <w:rsid w:val="00027991"/>
    <w:rsid w:val="00030EA5"/>
    <w:rsid w:val="00030EDD"/>
    <w:rsid w:val="000323DF"/>
    <w:rsid w:val="00032428"/>
    <w:rsid w:val="000344C5"/>
    <w:rsid w:val="00034D25"/>
    <w:rsid w:val="00036CEC"/>
    <w:rsid w:val="00040A0C"/>
    <w:rsid w:val="00041225"/>
    <w:rsid w:val="00042EFC"/>
    <w:rsid w:val="000431D1"/>
    <w:rsid w:val="0004377F"/>
    <w:rsid w:val="00043BFC"/>
    <w:rsid w:val="00045720"/>
    <w:rsid w:val="00046205"/>
    <w:rsid w:val="00046B52"/>
    <w:rsid w:val="00046BC9"/>
    <w:rsid w:val="000471E4"/>
    <w:rsid w:val="00047201"/>
    <w:rsid w:val="0004742E"/>
    <w:rsid w:val="00047C98"/>
    <w:rsid w:val="00050500"/>
    <w:rsid w:val="000508B0"/>
    <w:rsid w:val="00051651"/>
    <w:rsid w:val="0005291B"/>
    <w:rsid w:val="00052A70"/>
    <w:rsid w:val="00053006"/>
    <w:rsid w:val="0005485D"/>
    <w:rsid w:val="00054873"/>
    <w:rsid w:val="00054BEB"/>
    <w:rsid w:val="00054EE7"/>
    <w:rsid w:val="00055365"/>
    <w:rsid w:val="00056A20"/>
    <w:rsid w:val="00057608"/>
    <w:rsid w:val="00060003"/>
    <w:rsid w:val="00060FFB"/>
    <w:rsid w:val="0006107E"/>
    <w:rsid w:val="00061330"/>
    <w:rsid w:val="00064789"/>
    <w:rsid w:val="00064C33"/>
    <w:rsid w:val="00065E8B"/>
    <w:rsid w:val="000662D9"/>
    <w:rsid w:val="0006649E"/>
    <w:rsid w:val="00066C24"/>
    <w:rsid w:val="00067091"/>
    <w:rsid w:val="000673E9"/>
    <w:rsid w:val="000704B5"/>
    <w:rsid w:val="000704C3"/>
    <w:rsid w:val="00070AC6"/>
    <w:rsid w:val="00070E78"/>
    <w:rsid w:val="000710BF"/>
    <w:rsid w:val="0007144A"/>
    <w:rsid w:val="00071F3D"/>
    <w:rsid w:val="000723E7"/>
    <w:rsid w:val="000733B9"/>
    <w:rsid w:val="00073433"/>
    <w:rsid w:val="0007430F"/>
    <w:rsid w:val="00076CAA"/>
    <w:rsid w:val="00076FF4"/>
    <w:rsid w:val="00077348"/>
    <w:rsid w:val="00081C48"/>
    <w:rsid w:val="000835AF"/>
    <w:rsid w:val="00083D28"/>
    <w:rsid w:val="00084443"/>
    <w:rsid w:val="0008688A"/>
    <w:rsid w:val="0008786F"/>
    <w:rsid w:val="00087B5F"/>
    <w:rsid w:val="00087DB8"/>
    <w:rsid w:val="00087F96"/>
    <w:rsid w:val="00090388"/>
    <w:rsid w:val="00090D0D"/>
    <w:rsid w:val="00090E19"/>
    <w:rsid w:val="000924C9"/>
    <w:rsid w:val="0009370B"/>
    <w:rsid w:val="00093FBE"/>
    <w:rsid w:val="00094658"/>
    <w:rsid w:val="00095121"/>
    <w:rsid w:val="000951A0"/>
    <w:rsid w:val="00095580"/>
    <w:rsid w:val="000966BD"/>
    <w:rsid w:val="00096F7D"/>
    <w:rsid w:val="00097382"/>
    <w:rsid w:val="000974C0"/>
    <w:rsid w:val="000A1A85"/>
    <w:rsid w:val="000A1D7C"/>
    <w:rsid w:val="000A1DF0"/>
    <w:rsid w:val="000A2FD8"/>
    <w:rsid w:val="000A39DF"/>
    <w:rsid w:val="000A4893"/>
    <w:rsid w:val="000A4A82"/>
    <w:rsid w:val="000A4C83"/>
    <w:rsid w:val="000A644E"/>
    <w:rsid w:val="000A745C"/>
    <w:rsid w:val="000A7CFF"/>
    <w:rsid w:val="000A7FD6"/>
    <w:rsid w:val="000B246C"/>
    <w:rsid w:val="000B28BE"/>
    <w:rsid w:val="000B2C3F"/>
    <w:rsid w:val="000B2D02"/>
    <w:rsid w:val="000B5E69"/>
    <w:rsid w:val="000B5E6F"/>
    <w:rsid w:val="000B74BE"/>
    <w:rsid w:val="000C05C4"/>
    <w:rsid w:val="000C0C7E"/>
    <w:rsid w:val="000C0DCC"/>
    <w:rsid w:val="000C0DED"/>
    <w:rsid w:val="000C11C7"/>
    <w:rsid w:val="000C1F26"/>
    <w:rsid w:val="000C307B"/>
    <w:rsid w:val="000C36C9"/>
    <w:rsid w:val="000C40FA"/>
    <w:rsid w:val="000C4184"/>
    <w:rsid w:val="000C49F6"/>
    <w:rsid w:val="000C5E8D"/>
    <w:rsid w:val="000C6F6E"/>
    <w:rsid w:val="000C7B78"/>
    <w:rsid w:val="000D0EBB"/>
    <w:rsid w:val="000D1298"/>
    <w:rsid w:val="000D1D54"/>
    <w:rsid w:val="000D1F60"/>
    <w:rsid w:val="000D28D8"/>
    <w:rsid w:val="000D3A58"/>
    <w:rsid w:val="000D3CC5"/>
    <w:rsid w:val="000D53B4"/>
    <w:rsid w:val="000D6016"/>
    <w:rsid w:val="000D62E8"/>
    <w:rsid w:val="000D6840"/>
    <w:rsid w:val="000E0292"/>
    <w:rsid w:val="000E06B5"/>
    <w:rsid w:val="000E09DE"/>
    <w:rsid w:val="000E1B27"/>
    <w:rsid w:val="000E3A83"/>
    <w:rsid w:val="000E3B17"/>
    <w:rsid w:val="000E4322"/>
    <w:rsid w:val="000E5CA3"/>
    <w:rsid w:val="000E62AB"/>
    <w:rsid w:val="000E62DC"/>
    <w:rsid w:val="000E6824"/>
    <w:rsid w:val="000E6903"/>
    <w:rsid w:val="000E74A2"/>
    <w:rsid w:val="000F0632"/>
    <w:rsid w:val="000F0748"/>
    <w:rsid w:val="000F1020"/>
    <w:rsid w:val="000F1754"/>
    <w:rsid w:val="000F2959"/>
    <w:rsid w:val="000F2BA8"/>
    <w:rsid w:val="000F3456"/>
    <w:rsid w:val="000F35BB"/>
    <w:rsid w:val="000F363A"/>
    <w:rsid w:val="000F39F6"/>
    <w:rsid w:val="000F3B4F"/>
    <w:rsid w:val="000F4402"/>
    <w:rsid w:val="000F459B"/>
    <w:rsid w:val="000F4CDC"/>
    <w:rsid w:val="000F4E19"/>
    <w:rsid w:val="000F5054"/>
    <w:rsid w:val="000F5A5E"/>
    <w:rsid w:val="000F5FED"/>
    <w:rsid w:val="000F6A6A"/>
    <w:rsid w:val="000F72C8"/>
    <w:rsid w:val="000F73C2"/>
    <w:rsid w:val="000F7885"/>
    <w:rsid w:val="00100C74"/>
    <w:rsid w:val="00102410"/>
    <w:rsid w:val="00102B6B"/>
    <w:rsid w:val="00104B48"/>
    <w:rsid w:val="00104DA0"/>
    <w:rsid w:val="00105151"/>
    <w:rsid w:val="00105550"/>
    <w:rsid w:val="00106407"/>
    <w:rsid w:val="00107F4E"/>
    <w:rsid w:val="00110DBD"/>
    <w:rsid w:val="00111CE4"/>
    <w:rsid w:val="00112240"/>
    <w:rsid w:val="00113484"/>
    <w:rsid w:val="00114770"/>
    <w:rsid w:val="0011522E"/>
    <w:rsid w:val="001156B8"/>
    <w:rsid w:val="00115EDD"/>
    <w:rsid w:val="0011643D"/>
    <w:rsid w:val="00116930"/>
    <w:rsid w:val="00120B52"/>
    <w:rsid w:val="0012151C"/>
    <w:rsid w:val="00121ADC"/>
    <w:rsid w:val="00122B4F"/>
    <w:rsid w:val="00123741"/>
    <w:rsid w:val="00123B2F"/>
    <w:rsid w:val="00123CF7"/>
    <w:rsid w:val="00124414"/>
    <w:rsid w:val="00130A56"/>
    <w:rsid w:val="00130BA0"/>
    <w:rsid w:val="00131583"/>
    <w:rsid w:val="00131927"/>
    <w:rsid w:val="00134929"/>
    <w:rsid w:val="00136048"/>
    <w:rsid w:val="00136207"/>
    <w:rsid w:val="00136959"/>
    <w:rsid w:val="00136E61"/>
    <w:rsid w:val="00137361"/>
    <w:rsid w:val="00137B2F"/>
    <w:rsid w:val="00137C00"/>
    <w:rsid w:val="00137D44"/>
    <w:rsid w:val="001402A2"/>
    <w:rsid w:val="00140E8E"/>
    <w:rsid w:val="00142D7C"/>
    <w:rsid w:val="00143058"/>
    <w:rsid w:val="00143B7E"/>
    <w:rsid w:val="00144A11"/>
    <w:rsid w:val="00145AE4"/>
    <w:rsid w:val="00145CBA"/>
    <w:rsid w:val="001464B2"/>
    <w:rsid w:val="00146A72"/>
    <w:rsid w:val="00146FF2"/>
    <w:rsid w:val="00151E79"/>
    <w:rsid w:val="00152092"/>
    <w:rsid w:val="00152576"/>
    <w:rsid w:val="00152F14"/>
    <w:rsid w:val="001551FA"/>
    <w:rsid w:val="00155267"/>
    <w:rsid w:val="001553D7"/>
    <w:rsid w:val="00157E3A"/>
    <w:rsid w:val="00160263"/>
    <w:rsid w:val="001602CD"/>
    <w:rsid w:val="00160310"/>
    <w:rsid w:val="001616B9"/>
    <w:rsid w:val="00161D0A"/>
    <w:rsid w:val="001624B5"/>
    <w:rsid w:val="001632A9"/>
    <w:rsid w:val="00163FDB"/>
    <w:rsid w:val="00164C8D"/>
    <w:rsid w:val="0016587B"/>
    <w:rsid w:val="0016595D"/>
    <w:rsid w:val="00165BCD"/>
    <w:rsid w:val="001664B0"/>
    <w:rsid w:val="001666E4"/>
    <w:rsid w:val="001668A7"/>
    <w:rsid w:val="00167F2B"/>
    <w:rsid w:val="00170271"/>
    <w:rsid w:val="0017074A"/>
    <w:rsid w:val="00170B37"/>
    <w:rsid w:val="001712C4"/>
    <w:rsid w:val="00172701"/>
    <w:rsid w:val="00172A27"/>
    <w:rsid w:val="00172DA6"/>
    <w:rsid w:val="001735FC"/>
    <w:rsid w:val="0017527E"/>
    <w:rsid w:val="00175540"/>
    <w:rsid w:val="00177433"/>
    <w:rsid w:val="0017743F"/>
    <w:rsid w:val="0017781E"/>
    <w:rsid w:val="00180F3D"/>
    <w:rsid w:val="001828DC"/>
    <w:rsid w:val="00184AF7"/>
    <w:rsid w:val="001851BD"/>
    <w:rsid w:val="00185535"/>
    <w:rsid w:val="00186A5A"/>
    <w:rsid w:val="00190287"/>
    <w:rsid w:val="001903F7"/>
    <w:rsid w:val="001911C1"/>
    <w:rsid w:val="00191326"/>
    <w:rsid w:val="0019136F"/>
    <w:rsid w:val="00192A69"/>
    <w:rsid w:val="00192AD0"/>
    <w:rsid w:val="0019321B"/>
    <w:rsid w:val="00193782"/>
    <w:rsid w:val="0019482D"/>
    <w:rsid w:val="00194F40"/>
    <w:rsid w:val="00195776"/>
    <w:rsid w:val="00195C84"/>
    <w:rsid w:val="001961D0"/>
    <w:rsid w:val="001968FF"/>
    <w:rsid w:val="00196AE5"/>
    <w:rsid w:val="00196DC5"/>
    <w:rsid w:val="001970C8"/>
    <w:rsid w:val="00197147"/>
    <w:rsid w:val="001979AC"/>
    <w:rsid w:val="00197EB3"/>
    <w:rsid w:val="001A01D2"/>
    <w:rsid w:val="001A05E6"/>
    <w:rsid w:val="001A25AF"/>
    <w:rsid w:val="001A3EFA"/>
    <w:rsid w:val="001A5448"/>
    <w:rsid w:val="001A57AC"/>
    <w:rsid w:val="001A5894"/>
    <w:rsid w:val="001A5972"/>
    <w:rsid w:val="001A5CE0"/>
    <w:rsid w:val="001A794A"/>
    <w:rsid w:val="001A7F30"/>
    <w:rsid w:val="001B0B69"/>
    <w:rsid w:val="001B3D96"/>
    <w:rsid w:val="001B4AE7"/>
    <w:rsid w:val="001B5134"/>
    <w:rsid w:val="001B5448"/>
    <w:rsid w:val="001B5797"/>
    <w:rsid w:val="001B65A5"/>
    <w:rsid w:val="001B6856"/>
    <w:rsid w:val="001B6BF5"/>
    <w:rsid w:val="001C0393"/>
    <w:rsid w:val="001C1302"/>
    <w:rsid w:val="001C2FB9"/>
    <w:rsid w:val="001C4406"/>
    <w:rsid w:val="001C4DB5"/>
    <w:rsid w:val="001C62AB"/>
    <w:rsid w:val="001C6541"/>
    <w:rsid w:val="001C721E"/>
    <w:rsid w:val="001C7FB5"/>
    <w:rsid w:val="001D0BF5"/>
    <w:rsid w:val="001D0F8F"/>
    <w:rsid w:val="001D154A"/>
    <w:rsid w:val="001D328D"/>
    <w:rsid w:val="001D38F0"/>
    <w:rsid w:val="001D4454"/>
    <w:rsid w:val="001D59BD"/>
    <w:rsid w:val="001D5F5C"/>
    <w:rsid w:val="001D618D"/>
    <w:rsid w:val="001D639F"/>
    <w:rsid w:val="001D63F1"/>
    <w:rsid w:val="001D717A"/>
    <w:rsid w:val="001D750B"/>
    <w:rsid w:val="001E0562"/>
    <w:rsid w:val="001E0720"/>
    <w:rsid w:val="001E2817"/>
    <w:rsid w:val="001E2E58"/>
    <w:rsid w:val="001E45AA"/>
    <w:rsid w:val="001E4C0E"/>
    <w:rsid w:val="001E5C9A"/>
    <w:rsid w:val="001E6897"/>
    <w:rsid w:val="001E6E61"/>
    <w:rsid w:val="001E6FDF"/>
    <w:rsid w:val="001E77B0"/>
    <w:rsid w:val="001F06A9"/>
    <w:rsid w:val="001F0923"/>
    <w:rsid w:val="001F1C3D"/>
    <w:rsid w:val="001F22C6"/>
    <w:rsid w:val="001F2409"/>
    <w:rsid w:val="001F2CF1"/>
    <w:rsid w:val="001F41BF"/>
    <w:rsid w:val="001F4B0D"/>
    <w:rsid w:val="001F52A4"/>
    <w:rsid w:val="001F5C6B"/>
    <w:rsid w:val="001F5E06"/>
    <w:rsid w:val="002004F8"/>
    <w:rsid w:val="002005CE"/>
    <w:rsid w:val="00201242"/>
    <w:rsid w:val="00201308"/>
    <w:rsid w:val="00201570"/>
    <w:rsid w:val="00201BB0"/>
    <w:rsid w:val="00201D83"/>
    <w:rsid w:val="00202313"/>
    <w:rsid w:val="00202AB5"/>
    <w:rsid w:val="00202F90"/>
    <w:rsid w:val="00203C65"/>
    <w:rsid w:val="00204052"/>
    <w:rsid w:val="002050BF"/>
    <w:rsid w:val="00205AC0"/>
    <w:rsid w:val="00205FDC"/>
    <w:rsid w:val="002064AB"/>
    <w:rsid w:val="002143EA"/>
    <w:rsid w:val="002149A3"/>
    <w:rsid w:val="0021576D"/>
    <w:rsid w:val="002160DC"/>
    <w:rsid w:val="00216AC5"/>
    <w:rsid w:val="00217156"/>
    <w:rsid w:val="002172DE"/>
    <w:rsid w:val="002177A7"/>
    <w:rsid w:val="00217CC9"/>
    <w:rsid w:val="00220CBF"/>
    <w:rsid w:val="00220E67"/>
    <w:rsid w:val="002214D7"/>
    <w:rsid w:val="002215C4"/>
    <w:rsid w:val="00222331"/>
    <w:rsid w:val="0022241F"/>
    <w:rsid w:val="00222AEC"/>
    <w:rsid w:val="00223CAE"/>
    <w:rsid w:val="00224676"/>
    <w:rsid w:val="00224811"/>
    <w:rsid w:val="0022633A"/>
    <w:rsid w:val="00226AB1"/>
    <w:rsid w:val="002312A3"/>
    <w:rsid w:val="00231C91"/>
    <w:rsid w:val="002337A3"/>
    <w:rsid w:val="00233867"/>
    <w:rsid w:val="00233B7F"/>
    <w:rsid w:val="00233C94"/>
    <w:rsid w:val="00234434"/>
    <w:rsid w:val="00234464"/>
    <w:rsid w:val="00234F77"/>
    <w:rsid w:val="00235116"/>
    <w:rsid w:val="00235441"/>
    <w:rsid w:val="00236CD9"/>
    <w:rsid w:val="00237290"/>
    <w:rsid w:val="00237368"/>
    <w:rsid w:val="00237E5C"/>
    <w:rsid w:val="00240B86"/>
    <w:rsid w:val="00242A9F"/>
    <w:rsid w:val="00243533"/>
    <w:rsid w:val="00243885"/>
    <w:rsid w:val="002449A1"/>
    <w:rsid w:val="002454E0"/>
    <w:rsid w:val="00246026"/>
    <w:rsid w:val="002473E8"/>
    <w:rsid w:val="0025093A"/>
    <w:rsid w:val="00252334"/>
    <w:rsid w:val="00252C81"/>
    <w:rsid w:val="002539F5"/>
    <w:rsid w:val="00254C2F"/>
    <w:rsid w:val="00255540"/>
    <w:rsid w:val="002555BF"/>
    <w:rsid w:val="00256BDB"/>
    <w:rsid w:val="00257EC4"/>
    <w:rsid w:val="00257FAE"/>
    <w:rsid w:val="00260556"/>
    <w:rsid w:val="002607E3"/>
    <w:rsid w:val="00260902"/>
    <w:rsid w:val="00260EFE"/>
    <w:rsid w:val="0026140D"/>
    <w:rsid w:val="002639D1"/>
    <w:rsid w:val="00263EAA"/>
    <w:rsid w:val="0026502A"/>
    <w:rsid w:val="0026528D"/>
    <w:rsid w:val="00265A74"/>
    <w:rsid w:val="002666F6"/>
    <w:rsid w:val="002669E4"/>
    <w:rsid w:val="00267410"/>
    <w:rsid w:val="00267A9A"/>
    <w:rsid w:val="00270542"/>
    <w:rsid w:val="0027072B"/>
    <w:rsid w:val="00272979"/>
    <w:rsid w:val="002738EA"/>
    <w:rsid w:val="00273F80"/>
    <w:rsid w:val="00274B27"/>
    <w:rsid w:val="002752C2"/>
    <w:rsid w:val="00275855"/>
    <w:rsid w:val="002758B7"/>
    <w:rsid w:val="00275E01"/>
    <w:rsid w:val="0027615A"/>
    <w:rsid w:val="00276548"/>
    <w:rsid w:val="00276957"/>
    <w:rsid w:val="00277009"/>
    <w:rsid w:val="00280697"/>
    <w:rsid w:val="0028083E"/>
    <w:rsid w:val="00280903"/>
    <w:rsid w:val="00281C11"/>
    <w:rsid w:val="00284594"/>
    <w:rsid w:val="00284FCC"/>
    <w:rsid w:val="002854B8"/>
    <w:rsid w:val="002858C0"/>
    <w:rsid w:val="00285C70"/>
    <w:rsid w:val="00285F7C"/>
    <w:rsid w:val="002862C3"/>
    <w:rsid w:val="00286E65"/>
    <w:rsid w:val="0028724C"/>
    <w:rsid w:val="0028735F"/>
    <w:rsid w:val="0028749C"/>
    <w:rsid w:val="00290275"/>
    <w:rsid w:val="002906E2"/>
    <w:rsid w:val="0029073E"/>
    <w:rsid w:val="00290C5F"/>
    <w:rsid w:val="00290CA3"/>
    <w:rsid w:val="00290D9E"/>
    <w:rsid w:val="00290EFF"/>
    <w:rsid w:val="002927DE"/>
    <w:rsid w:val="00293216"/>
    <w:rsid w:val="00293BA9"/>
    <w:rsid w:val="00294462"/>
    <w:rsid w:val="002955C5"/>
    <w:rsid w:val="00295FEE"/>
    <w:rsid w:val="002962AF"/>
    <w:rsid w:val="0029646A"/>
    <w:rsid w:val="0029760F"/>
    <w:rsid w:val="00297E22"/>
    <w:rsid w:val="002A041D"/>
    <w:rsid w:val="002A091D"/>
    <w:rsid w:val="002A0B98"/>
    <w:rsid w:val="002A1100"/>
    <w:rsid w:val="002A2882"/>
    <w:rsid w:val="002A2A4A"/>
    <w:rsid w:val="002A3EB6"/>
    <w:rsid w:val="002A4237"/>
    <w:rsid w:val="002A42E3"/>
    <w:rsid w:val="002A4BAE"/>
    <w:rsid w:val="002A69BA"/>
    <w:rsid w:val="002A6DEB"/>
    <w:rsid w:val="002A7724"/>
    <w:rsid w:val="002B027F"/>
    <w:rsid w:val="002B2E0B"/>
    <w:rsid w:val="002B2E44"/>
    <w:rsid w:val="002B34DD"/>
    <w:rsid w:val="002B469E"/>
    <w:rsid w:val="002B522E"/>
    <w:rsid w:val="002B6059"/>
    <w:rsid w:val="002B67D5"/>
    <w:rsid w:val="002C0BDB"/>
    <w:rsid w:val="002C0CA3"/>
    <w:rsid w:val="002C0CC1"/>
    <w:rsid w:val="002C1693"/>
    <w:rsid w:val="002C32C0"/>
    <w:rsid w:val="002C39CF"/>
    <w:rsid w:val="002C3C22"/>
    <w:rsid w:val="002C3FF5"/>
    <w:rsid w:val="002C441E"/>
    <w:rsid w:val="002C4B11"/>
    <w:rsid w:val="002C5048"/>
    <w:rsid w:val="002C650B"/>
    <w:rsid w:val="002C6A12"/>
    <w:rsid w:val="002D099B"/>
    <w:rsid w:val="002D0E3A"/>
    <w:rsid w:val="002D12D8"/>
    <w:rsid w:val="002D1315"/>
    <w:rsid w:val="002D1626"/>
    <w:rsid w:val="002D1686"/>
    <w:rsid w:val="002D18FD"/>
    <w:rsid w:val="002D343C"/>
    <w:rsid w:val="002D3A34"/>
    <w:rsid w:val="002D48EA"/>
    <w:rsid w:val="002D4DF6"/>
    <w:rsid w:val="002D5934"/>
    <w:rsid w:val="002D5EDC"/>
    <w:rsid w:val="002D60EE"/>
    <w:rsid w:val="002D720C"/>
    <w:rsid w:val="002E198A"/>
    <w:rsid w:val="002E2646"/>
    <w:rsid w:val="002E2C39"/>
    <w:rsid w:val="002E2C57"/>
    <w:rsid w:val="002E2CC0"/>
    <w:rsid w:val="002E39ED"/>
    <w:rsid w:val="002E5184"/>
    <w:rsid w:val="002E5406"/>
    <w:rsid w:val="002E74E0"/>
    <w:rsid w:val="002F0151"/>
    <w:rsid w:val="002F093F"/>
    <w:rsid w:val="002F0E91"/>
    <w:rsid w:val="002F124C"/>
    <w:rsid w:val="002F216A"/>
    <w:rsid w:val="002F2F88"/>
    <w:rsid w:val="002F3947"/>
    <w:rsid w:val="002F4269"/>
    <w:rsid w:val="002F48E3"/>
    <w:rsid w:val="002F537B"/>
    <w:rsid w:val="002F5B6B"/>
    <w:rsid w:val="002F5DBC"/>
    <w:rsid w:val="002F733B"/>
    <w:rsid w:val="002F735E"/>
    <w:rsid w:val="002F76F3"/>
    <w:rsid w:val="002F7984"/>
    <w:rsid w:val="003002BB"/>
    <w:rsid w:val="00301591"/>
    <w:rsid w:val="003027EB"/>
    <w:rsid w:val="00302A06"/>
    <w:rsid w:val="003030E4"/>
    <w:rsid w:val="00303A26"/>
    <w:rsid w:val="00304865"/>
    <w:rsid w:val="00306B6B"/>
    <w:rsid w:val="00306BC2"/>
    <w:rsid w:val="0030714A"/>
    <w:rsid w:val="003077E3"/>
    <w:rsid w:val="0031077A"/>
    <w:rsid w:val="0031086A"/>
    <w:rsid w:val="0031090D"/>
    <w:rsid w:val="00310BE0"/>
    <w:rsid w:val="00313468"/>
    <w:rsid w:val="003136C9"/>
    <w:rsid w:val="00313819"/>
    <w:rsid w:val="00313A89"/>
    <w:rsid w:val="00313E0D"/>
    <w:rsid w:val="00314CF3"/>
    <w:rsid w:val="00314E7A"/>
    <w:rsid w:val="00315FBB"/>
    <w:rsid w:val="003161D8"/>
    <w:rsid w:val="003167F3"/>
    <w:rsid w:val="003169C8"/>
    <w:rsid w:val="00316A10"/>
    <w:rsid w:val="00317434"/>
    <w:rsid w:val="00317CF6"/>
    <w:rsid w:val="00320780"/>
    <w:rsid w:val="003209E6"/>
    <w:rsid w:val="00321C17"/>
    <w:rsid w:val="00323780"/>
    <w:rsid w:val="003242F6"/>
    <w:rsid w:val="0033021E"/>
    <w:rsid w:val="003302E9"/>
    <w:rsid w:val="00330CD7"/>
    <w:rsid w:val="00331225"/>
    <w:rsid w:val="00331A7C"/>
    <w:rsid w:val="00331FDC"/>
    <w:rsid w:val="003335D7"/>
    <w:rsid w:val="0033367B"/>
    <w:rsid w:val="00333E8F"/>
    <w:rsid w:val="0033586B"/>
    <w:rsid w:val="00335A26"/>
    <w:rsid w:val="00335F80"/>
    <w:rsid w:val="0033619E"/>
    <w:rsid w:val="0033624E"/>
    <w:rsid w:val="003363E9"/>
    <w:rsid w:val="00336CF6"/>
    <w:rsid w:val="00337928"/>
    <w:rsid w:val="00337B52"/>
    <w:rsid w:val="00337DF6"/>
    <w:rsid w:val="0034029F"/>
    <w:rsid w:val="003403DD"/>
    <w:rsid w:val="00340611"/>
    <w:rsid w:val="003411D9"/>
    <w:rsid w:val="003424F2"/>
    <w:rsid w:val="00344B10"/>
    <w:rsid w:val="003457D4"/>
    <w:rsid w:val="0034581E"/>
    <w:rsid w:val="00346286"/>
    <w:rsid w:val="00347133"/>
    <w:rsid w:val="00347D98"/>
    <w:rsid w:val="00347F9F"/>
    <w:rsid w:val="00350E89"/>
    <w:rsid w:val="00353C9A"/>
    <w:rsid w:val="003549A3"/>
    <w:rsid w:val="00355593"/>
    <w:rsid w:val="00355E5F"/>
    <w:rsid w:val="00355FBF"/>
    <w:rsid w:val="00356DF6"/>
    <w:rsid w:val="0035720C"/>
    <w:rsid w:val="0035776F"/>
    <w:rsid w:val="00361C9B"/>
    <w:rsid w:val="003625C8"/>
    <w:rsid w:val="003627DB"/>
    <w:rsid w:val="003637B3"/>
    <w:rsid w:val="00363C12"/>
    <w:rsid w:val="00363D67"/>
    <w:rsid w:val="00364406"/>
    <w:rsid w:val="0036451C"/>
    <w:rsid w:val="00364568"/>
    <w:rsid w:val="003646F0"/>
    <w:rsid w:val="00364AB2"/>
    <w:rsid w:val="0036671B"/>
    <w:rsid w:val="00367AFC"/>
    <w:rsid w:val="003709B3"/>
    <w:rsid w:val="00371B3D"/>
    <w:rsid w:val="00372B52"/>
    <w:rsid w:val="00372EF7"/>
    <w:rsid w:val="00372F2D"/>
    <w:rsid w:val="003744D5"/>
    <w:rsid w:val="00374670"/>
    <w:rsid w:val="0037593E"/>
    <w:rsid w:val="003763EE"/>
    <w:rsid w:val="00376B72"/>
    <w:rsid w:val="003816E6"/>
    <w:rsid w:val="00381D80"/>
    <w:rsid w:val="0038253D"/>
    <w:rsid w:val="00382792"/>
    <w:rsid w:val="00382E6E"/>
    <w:rsid w:val="003838F8"/>
    <w:rsid w:val="003847AC"/>
    <w:rsid w:val="00384EFC"/>
    <w:rsid w:val="003863CD"/>
    <w:rsid w:val="00386AD5"/>
    <w:rsid w:val="00386D84"/>
    <w:rsid w:val="00386F75"/>
    <w:rsid w:val="00390460"/>
    <w:rsid w:val="00390CA9"/>
    <w:rsid w:val="00390D9F"/>
    <w:rsid w:val="00391D72"/>
    <w:rsid w:val="00392A7C"/>
    <w:rsid w:val="0039636F"/>
    <w:rsid w:val="003970CE"/>
    <w:rsid w:val="00397E2E"/>
    <w:rsid w:val="003A0369"/>
    <w:rsid w:val="003A049B"/>
    <w:rsid w:val="003A0C06"/>
    <w:rsid w:val="003A1147"/>
    <w:rsid w:val="003A1904"/>
    <w:rsid w:val="003A4248"/>
    <w:rsid w:val="003A5D0D"/>
    <w:rsid w:val="003A60AE"/>
    <w:rsid w:val="003A63CF"/>
    <w:rsid w:val="003A6DF8"/>
    <w:rsid w:val="003A77C7"/>
    <w:rsid w:val="003B1BED"/>
    <w:rsid w:val="003B1F3E"/>
    <w:rsid w:val="003B25DB"/>
    <w:rsid w:val="003B4626"/>
    <w:rsid w:val="003B47AB"/>
    <w:rsid w:val="003B49B8"/>
    <w:rsid w:val="003B4FF6"/>
    <w:rsid w:val="003B582B"/>
    <w:rsid w:val="003B5B17"/>
    <w:rsid w:val="003B6606"/>
    <w:rsid w:val="003B6BE1"/>
    <w:rsid w:val="003B7516"/>
    <w:rsid w:val="003C059E"/>
    <w:rsid w:val="003C2292"/>
    <w:rsid w:val="003C2A4C"/>
    <w:rsid w:val="003C31E5"/>
    <w:rsid w:val="003C335F"/>
    <w:rsid w:val="003C3825"/>
    <w:rsid w:val="003C4854"/>
    <w:rsid w:val="003C4886"/>
    <w:rsid w:val="003C4DB8"/>
    <w:rsid w:val="003C4F89"/>
    <w:rsid w:val="003C507B"/>
    <w:rsid w:val="003C52F4"/>
    <w:rsid w:val="003C53CF"/>
    <w:rsid w:val="003C5511"/>
    <w:rsid w:val="003C7384"/>
    <w:rsid w:val="003C7BDA"/>
    <w:rsid w:val="003D0384"/>
    <w:rsid w:val="003D0AC2"/>
    <w:rsid w:val="003D0DAC"/>
    <w:rsid w:val="003D1608"/>
    <w:rsid w:val="003D1701"/>
    <w:rsid w:val="003D1DAB"/>
    <w:rsid w:val="003D1FE1"/>
    <w:rsid w:val="003D2286"/>
    <w:rsid w:val="003D263C"/>
    <w:rsid w:val="003D328D"/>
    <w:rsid w:val="003D38D4"/>
    <w:rsid w:val="003D3A78"/>
    <w:rsid w:val="003D45AD"/>
    <w:rsid w:val="003D4E3E"/>
    <w:rsid w:val="003D4F3A"/>
    <w:rsid w:val="003D699D"/>
    <w:rsid w:val="003E0685"/>
    <w:rsid w:val="003E0BF3"/>
    <w:rsid w:val="003E1581"/>
    <w:rsid w:val="003E184B"/>
    <w:rsid w:val="003E1C22"/>
    <w:rsid w:val="003E480B"/>
    <w:rsid w:val="003E5937"/>
    <w:rsid w:val="003E6300"/>
    <w:rsid w:val="003E673C"/>
    <w:rsid w:val="003E75C9"/>
    <w:rsid w:val="003E763B"/>
    <w:rsid w:val="003F129B"/>
    <w:rsid w:val="003F17C1"/>
    <w:rsid w:val="003F2726"/>
    <w:rsid w:val="003F2837"/>
    <w:rsid w:val="003F2889"/>
    <w:rsid w:val="003F2E1A"/>
    <w:rsid w:val="003F41A4"/>
    <w:rsid w:val="003F4D6F"/>
    <w:rsid w:val="003F6598"/>
    <w:rsid w:val="003F683B"/>
    <w:rsid w:val="003F6AFF"/>
    <w:rsid w:val="003F6B2F"/>
    <w:rsid w:val="003F6E1D"/>
    <w:rsid w:val="00400A8E"/>
    <w:rsid w:val="004010F8"/>
    <w:rsid w:val="0040127C"/>
    <w:rsid w:val="00401317"/>
    <w:rsid w:val="0040149A"/>
    <w:rsid w:val="00402F23"/>
    <w:rsid w:val="00403DEC"/>
    <w:rsid w:val="00404D3D"/>
    <w:rsid w:val="00404EC7"/>
    <w:rsid w:val="00405692"/>
    <w:rsid w:val="00407AED"/>
    <w:rsid w:val="00410AA3"/>
    <w:rsid w:val="00411812"/>
    <w:rsid w:val="00412292"/>
    <w:rsid w:val="00412342"/>
    <w:rsid w:val="00412FF7"/>
    <w:rsid w:val="0041379F"/>
    <w:rsid w:val="00413B24"/>
    <w:rsid w:val="00413C1A"/>
    <w:rsid w:val="004142AD"/>
    <w:rsid w:val="00414BC0"/>
    <w:rsid w:val="004160A9"/>
    <w:rsid w:val="00417379"/>
    <w:rsid w:val="004205FC"/>
    <w:rsid w:val="00420744"/>
    <w:rsid w:val="00421733"/>
    <w:rsid w:val="00421756"/>
    <w:rsid w:val="00421DE3"/>
    <w:rsid w:val="0042350C"/>
    <w:rsid w:val="0042486F"/>
    <w:rsid w:val="00425691"/>
    <w:rsid w:val="00425D21"/>
    <w:rsid w:val="00426285"/>
    <w:rsid w:val="004300EF"/>
    <w:rsid w:val="0043066C"/>
    <w:rsid w:val="00430987"/>
    <w:rsid w:val="00430DCB"/>
    <w:rsid w:val="0043140E"/>
    <w:rsid w:val="00431826"/>
    <w:rsid w:val="00432455"/>
    <w:rsid w:val="0043315A"/>
    <w:rsid w:val="004337C6"/>
    <w:rsid w:val="00434BDC"/>
    <w:rsid w:val="00434C48"/>
    <w:rsid w:val="00434D4F"/>
    <w:rsid w:val="004354CC"/>
    <w:rsid w:val="0043583D"/>
    <w:rsid w:val="00436262"/>
    <w:rsid w:val="0043648A"/>
    <w:rsid w:val="00437090"/>
    <w:rsid w:val="00437230"/>
    <w:rsid w:val="00437326"/>
    <w:rsid w:val="004377A4"/>
    <w:rsid w:val="00437BC4"/>
    <w:rsid w:val="00440C03"/>
    <w:rsid w:val="00440FA5"/>
    <w:rsid w:val="0044199F"/>
    <w:rsid w:val="004423FF"/>
    <w:rsid w:val="00443269"/>
    <w:rsid w:val="00443D13"/>
    <w:rsid w:val="00443DB1"/>
    <w:rsid w:val="00443DFB"/>
    <w:rsid w:val="00443E0F"/>
    <w:rsid w:val="00444927"/>
    <w:rsid w:val="004456B4"/>
    <w:rsid w:val="00445C2E"/>
    <w:rsid w:val="00446319"/>
    <w:rsid w:val="00446BE1"/>
    <w:rsid w:val="00447A3F"/>
    <w:rsid w:val="00447B24"/>
    <w:rsid w:val="00447B93"/>
    <w:rsid w:val="00450E41"/>
    <w:rsid w:val="00451782"/>
    <w:rsid w:val="00452191"/>
    <w:rsid w:val="004524F0"/>
    <w:rsid w:val="0045266E"/>
    <w:rsid w:val="004526F9"/>
    <w:rsid w:val="00452DF0"/>
    <w:rsid w:val="00453327"/>
    <w:rsid w:val="004535B1"/>
    <w:rsid w:val="00455036"/>
    <w:rsid w:val="004607AA"/>
    <w:rsid w:val="00460FDE"/>
    <w:rsid w:val="00463463"/>
    <w:rsid w:val="0046363C"/>
    <w:rsid w:val="00463C6B"/>
    <w:rsid w:val="0046467C"/>
    <w:rsid w:val="004649F6"/>
    <w:rsid w:val="004655EC"/>
    <w:rsid w:val="00465E13"/>
    <w:rsid w:val="00466583"/>
    <w:rsid w:val="00466CB2"/>
    <w:rsid w:val="00467105"/>
    <w:rsid w:val="0046720B"/>
    <w:rsid w:val="00467EE7"/>
    <w:rsid w:val="0047047F"/>
    <w:rsid w:val="004704E1"/>
    <w:rsid w:val="00473232"/>
    <w:rsid w:val="004733A0"/>
    <w:rsid w:val="00473883"/>
    <w:rsid w:val="00474547"/>
    <w:rsid w:val="004752B3"/>
    <w:rsid w:val="004756CB"/>
    <w:rsid w:val="00475A76"/>
    <w:rsid w:val="00477DB9"/>
    <w:rsid w:val="00480698"/>
    <w:rsid w:val="00480998"/>
    <w:rsid w:val="004811F1"/>
    <w:rsid w:val="004814BD"/>
    <w:rsid w:val="00483015"/>
    <w:rsid w:val="004830A7"/>
    <w:rsid w:val="00483A92"/>
    <w:rsid w:val="00485DC6"/>
    <w:rsid w:val="00486B93"/>
    <w:rsid w:val="0048782E"/>
    <w:rsid w:val="00487EAA"/>
    <w:rsid w:val="0049016C"/>
    <w:rsid w:val="00490234"/>
    <w:rsid w:val="00490387"/>
    <w:rsid w:val="00491579"/>
    <w:rsid w:val="00491D78"/>
    <w:rsid w:val="00492800"/>
    <w:rsid w:val="0049299C"/>
    <w:rsid w:val="00492AAC"/>
    <w:rsid w:val="004949B6"/>
    <w:rsid w:val="00494B5B"/>
    <w:rsid w:val="00497DE5"/>
    <w:rsid w:val="004A089E"/>
    <w:rsid w:val="004A100A"/>
    <w:rsid w:val="004A1E40"/>
    <w:rsid w:val="004A3B14"/>
    <w:rsid w:val="004A3B8B"/>
    <w:rsid w:val="004A4336"/>
    <w:rsid w:val="004A505A"/>
    <w:rsid w:val="004A588D"/>
    <w:rsid w:val="004A6DB4"/>
    <w:rsid w:val="004A6E98"/>
    <w:rsid w:val="004B114A"/>
    <w:rsid w:val="004B1C4C"/>
    <w:rsid w:val="004B2994"/>
    <w:rsid w:val="004B3F39"/>
    <w:rsid w:val="004B4A56"/>
    <w:rsid w:val="004B522A"/>
    <w:rsid w:val="004B6024"/>
    <w:rsid w:val="004B7ECD"/>
    <w:rsid w:val="004C05C5"/>
    <w:rsid w:val="004C06CA"/>
    <w:rsid w:val="004C0748"/>
    <w:rsid w:val="004C0896"/>
    <w:rsid w:val="004C135B"/>
    <w:rsid w:val="004C173A"/>
    <w:rsid w:val="004C181E"/>
    <w:rsid w:val="004C3A2B"/>
    <w:rsid w:val="004C4A09"/>
    <w:rsid w:val="004C4E40"/>
    <w:rsid w:val="004C799D"/>
    <w:rsid w:val="004C7C78"/>
    <w:rsid w:val="004D2F20"/>
    <w:rsid w:val="004D31F9"/>
    <w:rsid w:val="004D39F0"/>
    <w:rsid w:val="004D4049"/>
    <w:rsid w:val="004D4246"/>
    <w:rsid w:val="004D4536"/>
    <w:rsid w:val="004D460F"/>
    <w:rsid w:val="004D5BE5"/>
    <w:rsid w:val="004D5D81"/>
    <w:rsid w:val="004D73AB"/>
    <w:rsid w:val="004D746B"/>
    <w:rsid w:val="004D7917"/>
    <w:rsid w:val="004E0362"/>
    <w:rsid w:val="004E0954"/>
    <w:rsid w:val="004E0E68"/>
    <w:rsid w:val="004E1315"/>
    <w:rsid w:val="004E2928"/>
    <w:rsid w:val="004E339B"/>
    <w:rsid w:val="004E3CB2"/>
    <w:rsid w:val="004E6C1F"/>
    <w:rsid w:val="004E7343"/>
    <w:rsid w:val="004E7589"/>
    <w:rsid w:val="004F0391"/>
    <w:rsid w:val="004F31C1"/>
    <w:rsid w:val="004F3F32"/>
    <w:rsid w:val="004F4C62"/>
    <w:rsid w:val="004F5E88"/>
    <w:rsid w:val="004F60BC"/>
    <w:rsid w:val="004F62F1"/>
    <w:rsid w:val="004F7062"/>
    <w:rsid w:val="004F70C8"/>
    <w:rsid w:val="004F7231"/>
    <w:rsid w:val="0050014D"/>
    <w:rsid w:val="005005C2"/>
    <w:rsid w:val="00500B80"/>
    <w:rsid w:val="00501280"/>
    <w:rsid w:val="00501551"/>
    <w:rsid w:val="0050159C"/>
    <w:rsid w:val="00501DE5"/>
    <w:rsid w:val="00501EEB"/>
    <w:rsid w:val="0050245F"/>
    <w:rsid w:val="00503529"/>
    <w:rsid w:val="00504270"/>
    <w:rsid w:val="00504A23"/>
    <w:rsid w:val="00505D9A"/>
    <w:rsid w:val="0050619A"/>
    <w:rsid w:val="00506A07"/>
    <w:rsid w:val="005072CA"/>
    <w:rsid w:val="0050773D"/>
    <w:rsid w:val="00510003"/>
    <w:rsid w:val="00510C4A"/>
    <w:rsid w:val="00510D2C"/>
    <w:rsid w:val="005119FE"/>
    <w:rsid w:val="00513082"/>
    <w:rsid w:val="005145B5"/>
    <w:rsid w:val="00514701"/>
    <w:rsid w:val="005168C2"/>
    <w:rsid w:val="00516D13"/>
    <w:rsid w:val="00520E27"/>
    <w:rsid w:val="005213EE"/>
    <w:rsid w:val="0052358D"/>
    <w:rsid w:val="00523E21"/>
    <w:rsid w:val="00524AE7"/>
    <w:rsid w:val="0052504C"/>
    <w:rsid w:val="0052759A"/>
    <w:rsid w:val="00527879"/>
    <w:rsid w:val="00527B80"/>
    <w:rsid w:val="0053044C"/>
    <w:rsid w:val="00531F08"/>
    <w:rsid w:val="00532AD5"/>
    <w:rsid w:val="00533C35"/>
    <w:rsid w:val="00534068"/>
    <w:rsid w:val="00534478"/>
    <w:rsid w:val="005345DF"/>
    <w:rsid w:val="00534D05"/>
    <w:rsid w:val="00534FE5"/>
    <w:rsid w:val="0053605A"/>
    <w:rsid w:val="00536B2A"/>
    <w:rsid w:val="00536F5E"/>
    <w:rsid w:val="005375D9"/>
    <w:rsid w:val="00537837"/>
    <w:rsid w:val="005405FC"/>
    <w:rsid w:val="00540BDE"/>
    <w:rsid w:val="005416C5"/>
    <w:rsid w:val="005418AE"/>
    <w:rsid w:val="00542031"/>
    <w:rsid w:val="00542113"/>
    <w:rsid w:val="00542C34"/>
    <w:rsid w:val="00543267"/>
    <w:rsid w:val="00543833"/>
    <w:rsid w:val="00543A19"/>
    <w:rsid w:val="00543FC5"/>
    <w:rsid w:val="005444DB"/>
    <w:rsid w:val="005448AC"/>
    <w:rsid w:val="005449E5"/>
    <w:rsid w:val="00544EE2"/>
    <w:rsid w:val="005475E7"/>
    <w:rsid w:val="00547726"/>
    <w:rsid w:val="0055046A"/>
    <w:rsid w:val="0055078B"/>
    <w:rsid w:val="00551C0D"/>
    <w:rsid w:val="00552687"/>
    <w:rsid w:val="0055282A"/>
    <w:rsid w:val="00552E5C"/>
    <w:rsid w:val="005541B2"/>
    <w:rsid w:val="005547DE"/>
    <w:rsid w:val="005552D6"/>
    <w:rsid w:val="005570AF"/>
    <w:rsid w:val="005607A9"/>
    <w:rsid w:val="005610D5"/>
    <w:rsid w:val="00561924"/>
    <w:rsid w:val="005625DE"/>
    <w:rsid w:val="0056270A"/>
    <w:rsid w:val="00563BC1"/>
    <w:rsid w:val="00564D25"/>
    <w:rsid w:val="005656CF"/>
    <w:rsid w:val="00565830"/>
    <w:rsid w:val="00566B98"/>
    <w:rsid w:val="0056716B"/>
    <w:rsid w:val="00570C39"/>
    <w:rsid w:val="00572FC2"/>
    <w:rsid w:val="005749E1"/>
    <w:rsid w:val="005758DB"/>
    <w:rsid w:val="0057599B"/>
    <w:rsid w:val="0057684A"/>
    <w:rsid w:val="00576C12"/>
    <w:rsid w:val="00576D44"/>
    <w:rsid w:val="00576FD2"/>
    <w:rsid w:val="0058083F"/>
    <w:rsid w:val="00581004"/>
    <w:rsid w:val="00581889"/>
    <w:rsid w:val="00581948"/>
    <w:rsid w:val="00582E7C"/>
    <w:rsid w:val="00584D5A"/>
    <w:rsid w:val="0058579D"/>
    <w:rsid w:val="00586AD6"/>
    <w:rsid w:val="005873DA"/>
    <w:rsid w:val="00587C6B"/>
    <w:rsid w:val="0059041C"/>
    <w:rsid w:val="00590DEB"/>
    <w:rsid w:val="00591008"/>
    <w:rsid w:val="0059140F"/>
    <w:rsid w:val="005916E4"/>
    <w:rsid w:val="00591F6D"/>
    <w:rsid w:val="0059477F"/>
    <w:rsid w:val="005955D2"/>
    <w:rsid w:val="00596038"/>
    <w:rsid w:val="00597C3A"/>
    <w:rsid w:val="005A0429"/>
    <w:rsid w:val="005A0852"/>
    <w:rsid w:val="005A09D7"/>
    <w:rsid w:val="005A0A6F"/>
    <w:rsid w:val="005A1095"/>
    <w:rsid w:val="005A1764"/>
    <w:rsid w:val="005A1CED"/>
    <w:rsid w:val="005A4434"/>
    <w:rsid w:val="005A4B41"/>
    <w:rsid w:val="005A5024"/>
    <w:rsid w:val="005A52B5"/>
    <w:rsid w:val="005A5837"/>
    <w:rsid w:val="005A5B8F"/>
    <w:rsid w:val="005A5CCC"/>
    <w:rsid w:val="005A6666"/>
    <w:rsid w:val="005A6AFA"/>
    <w:rsid w:val="005B03B4"/>
    <w:rsid w:val="005B0721"/>
    <w:rsid w:val="005B0781"/>
    <w:rsid w:val="005B246A"/>
    <w:rsid w:val="005B33B9"/>
    <w:rsid w:val="005B3D34"/>
    <w:rsid w:val="005B3F72"/>
    <w:rsid w:val="005B66BC"/>
    <w:rsid w:val="005B7E2D"/>
    <w:rsid w:val="005C017F"/>
    <w:rsid w:val="005C04B1"/>
    <w:rsid w:val="005C0AFD"/>
    <w:rsid w:val="005C0C6F"/>
    <w:rsid w:val="005C2BBE"/>
    <w:rsid w:val="005C30F1"/>
    <w:rsid w:val="005C491D"/>
    <w:rsid w:val="005C50EC"/>
    <w:rsid w:val="005C5FCE"/>
    <w:rsid w:val="005C6621"/>
    <w:rsid w:val="005C6C79"/>
    <w:rsid w:val="005D02AA"/>
    <w:rsid w:val="005D02C6"/>
    <w:rsid w:val="005D04D2"/>
    <w:rsid w:val="005D0E0B"/>
    <w:rsid w:val="005D1296"/>
    <w:rsid w:val="005D1693"/>
    <w:rsid w:val="005D1BD7"/>
    <w:rsid w:val="005D2102"/>
    <w:rsid w:val="005D21B8"/>
    <w:rsid w:val="005D24C2"/>
    <w:rsid w:val="005D43AF"/>
    <w:rsid w:val="005D46FB"/>
    <w:rsid w:val="005D5794"/>
    <w:rsid w:val="005D75CC"/>
    <w:rsid w:val="005E03C9"/>
    <w:rsid w:val="005E05B2"/>
    <w:rsid w:val="005E1AB5"/>
    <w:rsid w:val="005E21FA"/>
    <w:rsid w:val="005E239B"/>
    <w:rsid w:val="005E24AF"/>
    <w:rsid w:val="005E27B4"/>
    <w:rsid w:val="005E3AC9"/>
    <w:rsid w:val="005E3C43"/>
    <w:rsid w:val="005E3D4E"/>
    <w:rsid w:val="005E4586"/>
    <w:rsid w:val="005F0EDD"/>
    <w:rsid w:val="005F1D38"/>
    <w:rsid w:val="005F2A7D"/>
    <w:rsid w:val="005F387F"/>
    <w:rsid w:val="005F44EE"/>
    <w:rsid w:val="005F50B7"/>
    <w:rsid w:val="005F555F"/>
    <w:rsid w:val="005F5631"/>
    <w:rsid w:val="005F5C68"/>
    <w:rsid w:val="005F791C"/>
    <w:rsid w:val="005F7E05"/>
    <w:rsid w:val="00600816"/>
    <w:rsid w:val="00601E37"/>
    <w:rsid w:val="00602C99"/>
    <w:rsid w:val="0060327C"/>
    <w:rsid w:val="00604102"/>
    <w:rsid w:val="00604240"/>
    <w:rsid w:val="00605393"/>
    <w:rsid w:val="00606A41"/>
    <w:rsid w:val="006072A3"/>
    <w:rsid w:val="006075EF"/>
    <w:rsid w:val="00611084"/>
    <w:rsid w:val="00611275"/>
    <w:rsid w:val="006121C9"/>
    <w:rsid w:val="006132FC"/>
    <w:rsid w:val="0061408F"/>
    <w:rsid w:val="006146BE"/>
    <w:rsid w:val="0061474E"/>
    <w:rsid w:val="00614869"/>
    <w:rsid w:val="006157AD"/>
    <w:rsid w:val="0062097C"/>
    <w:rsid w:val="00621979"/>
    <w:rsid w:val="0062198A"/>
    <w:rsid w:val="0062305C"/>
    <w:rsid w:val="00623310"/>
    <w:rsid w:val="0062424E"/>
    <w:rsid w:val="00625466"/>
    <w:rsid w:val="0062588C"/>
    <w:rsid w:val="00625AC7"/>
    <w:rsid w:val="00626AAC"/>
    <w:rsid w:val="00627977"/>
    <w:rsid w:val="00631354"/>
    <w:rsid w:val="0063152F"/>
    <w:rsid w:val="00631F6B"/>
    <w:rsid w:val="0063244B"/>
    <w:rsid w:val="00632630"/>
    <w:rsid w:val="006327E6"/>
    <w:rsid w:val="00632F28"/>
    <w:rsid w:val="0063375D"/>
    <w:rsid w:val="00634022"/>
    <w:rsid w:val="00635180"/>
    <w:rsid w:val="0063549E"/>
    <w:rsid w:val="00636476"/>
    <w:rsid w:val="006373F7"/>
    <w:rsid w:val="00637936"/>
    <w:rsid w:val="0064021A"/>
    <w:rsid w:val="00641104"/>
    <w:rsid w:val="006420C7"/>
    <w:rsid w:val="006422E4"/>
    <w:rsid w:val="0064316E"/>
    <w:rsid w:val="0064383C"/>
    <w:rsid w:val="00643B22"/>
    <w:rsid w:val="00645943"/>
    <w:rsid w:val="0064646E"/>
    <w:rsid w:val="006469ED"/>
    <w:rsid w:val="0064754A"/>
    <w:rsid w:val="00647E57"/>
    <w:rsid w:val="00650031"/>
    <w:rsid w:val="00650B8F"/>
    <w:rsid w:val="00651126"/>
    <w:rsid w:val="006518A0"/>
    <w:rsid w:val="00651F1D"/>
    <w:rsid w:val="0065335E"/>
    <w:rsid w:val="0065482D"/>
    <w:rsid w:val="00655310"/>
    <w:rsid w:val="00655525"/>
    <w:rsid w:val="00656887"/>
    <w:rsid w:val="00656E12"/>
    <w:rsid w:val="006575B7"/>
    <w:rsid w:val="00660F24"/>
    <w:rsid w:val="00661525"/>
    <w:rsid w:val="006626D9"/>
    <w:rsid w:val="0066389C"/>
    <w:rsid w:val="0066437A"/>
    <w:rsid w:val="00666C2C"/>
    <w:rsid w:val="0066738F"/>
    <w:rsid w:val="00667560"/>
    <w:rsid w:val="00667784"/>
    <w:rsid w:val="0067052E"/>
    <w:rsid w:val="006705D2"/>
    <w:rsid w:val="0067171D"/>
    <w:rsid w:val="00671749"/>
    <w:rsid w:val="00673B44"/>
    <w:rsid w:val="0067485A"/>
    <w:rsid w:val="0067540D"/>
    <w:rsid w:val="00675D56"/>
    <w:rsid w:val="00675DE2"/>
    <w:rsid w:val="00676D7C"/>
    <w:rsid w:val="00680638"/>
    <w:rsid w:val="006806DF"/>
    <w:rsid w:val="00680AE1"/>
    <w:rsid w:val="0068116F"/>
    <w:rsid w:val="00681652"/>
    <w:rsid w:val="00681E4F"/>
    <w:rsid w:val="006828CF"/>
    <w:rsid w:val="00682C14"/>
    <w:rsid w:val="00683592"/>
    <w:rsid w:val="00684677"/>
    <w:rsid w:val="00684D77"/>
    <w:rsid w:val="0068517F"/>
    <w:rsid w:val="006852A7"/>
    <w:rsid w:val="0068599C"/>
    <w:rsid w:val="00685DD6"/>
    <w:rsid w:val="006868B9"/>
    <w:rsid w:val="0068713A"/>
    <w:rsid w:val="006875E1"/>
    <w:rsid w:val="006877B0"/>
    <w:rsid w:val="0069086B"/>
    <w:rsid w:val="006910EC"/>
    <w:rsid w:val="00691302"/>
    <w:rsid w:val="00692255"/>
    <w:rsid w:val="006941C5"/>
    <w:rsid w:val="00694274"/>
    <w:rsid w:val="0069553D"/>
    <w:rsid w:val="00695E58"/>
    <w:rsid w:val="00695F35"/>
    <w:rsid w:val="00696BB5"/>
    <w:rsid w:val="006A0DE9"/>
    <w:rsid w:val="006A172D"/>
    <w:rsid w:val="006A197A"/>
    <w:rsid w:val="006A1B3C"/>
    <w:rsid w:val="006A1C53"/>
    <w:rsid w:val="006A2209"/>
    <w:rsid w:val="006A2905"/>
    <w:rsid w:val="006A4ADD"/>
    <w:rsid w:val="006A4F69"/>
    <w:rsid w:val="006A5F1F"/>
    <w:rsid w:val="006A63A5"/>
    <w:rsid w:val="006A68AF"/>
    <w:rsid w:val="006A75CA"/>
    <w:rsid w:val="006B0AEA"/>
    <w:rsid w:val="006B0D57"/>
    <w:rsid w:val="006B4036"/>
    <w:rsid w:val="006B53E7"/>
    <w:rsid w:val="006B5B9F"/>
    <w:rsid w:val="006B5E5B"/>
    <w:rsid w:val="006B670C"/>
    <w:rsid w:val="006B702D"/>
    <w:rsid w:val="006C0574"/>
    <w:rsid w:val="006C0732"/>
    <w:rsid w:val="006C0CD7"/>
    <w:rsid w:val="006C172F"/>
    <w:rsid w:val="006C2C94"/>
    <w:rsid w:val="006C4D2C"/>
    <w:rsid w:val="006C652A"/>
    <w:rsid w:val="006D0337"/>
    <w:rsid w:val="006D17F2"/>
    <w:rsid w:val="006D1F46"/>
    <w:rsid w:val="006D2593"/>
    <w:rsid w:val="006D2DB6"/>
    <w:rsid w:val="006D3572"/>
    <w:rsid w:val="006D4256"/>
    <w:rsid w:val="006D48A9"/>
    <w:rsid w:val="006D67C3"/>
    <w:rsid w:val="006D681F"/>
    <w:rsid w:val="006E0531"/>
    <w:rsid w:val="006E0B78"/>
    <w:rsid w:val="006E1456"/>
    <w:rsid w:val="006E1DAE"/>
    <w:rsid w:val="006E28C4"/>
    <w:rsid w:val="006E3440"/>
    <w:rsid w:val="006E3933"/>
    <w:rsid w:val="006E3FD2"/>
    <w:rsid w:val="006E495C"/>
    <w:rsid w:val="006E4DB2"/>
    <w:rsid w:val="006E58F9"/>
    <w:rsid w:val="006E6433"/>
    <w:rsid w:val="006E73AB"/>
    <w:rsid w:val="006E73F9"/>
    <w:rsid w:val="006E7409"/>
    <w:rsid w:val="006F0E5E"/>
    <w:rsid w:val="006F12F6"/>
    <w:rsid w:val="006F2DD6"/>
    <w:rsid w:val="006F63AC"/>
    <w:rsid w:val="006F64BB"/>
    <w:rsid w:val="006F6FD4"/>
    <w:rsid w:val="00700580"/>
    <w:rsid w:val="007019D3"/>
    <w:rsid w:val="0070294D"/>
    <w:rsid w:val="007030B2"/>
    <w:rsid w:val="00703362"/>
    <w:rsid w:val="00703456"/>
    <w:rsid w:val="007036BE"/>
    <w:rsid w:val="00704962"/>
    <w:rsid w:val="0070496B"/>
    <w:rsid w:val="007065BB"/>
    <w:rsid w:val="00707335"/>
    <w:rsid w:val="007079E1"/>
    <w:rsid w:val="00711EF1"/>
    <w:rsid w:val="007121C0"/>
    <w:rsid w:val="007126CF"/>
    <w:rsid w:val="00712982"/>
    <w:rsid w:val="00714052"/>
    <w:rsid w:val="00714330"/>
    <w:rsid w:val="00714972"/>
    <w:rsid w:val="00714FBC"/>
    <w:rsid w:val="00716337"/>
    <w:rsid w:val="007165CF"/>
    <w:rsid w:val="007169A3"/>
    <w:rsid w:val="00716EE9"/>
    <w:rsid w:val="007177A5"/>
    <w:rsid w:val="00717B13"/>
    <w:rsid w:val="0072039B"/>
    <w:rsid w:val="007205A3"/>
    <w:rsid w:val="007208A0"/>
    <w:rsid w:val="00721170"/>
    <w:rsid w:val="00721819"/>
    <w:rsid w:val="00721F30"/>
    <w:rsid w:val="007221F9"/>
    <w:rsid w:val="00722FBA"/>
    <w:rsid w:val="0072364B"/>
    <w:rsid w:val="007238C0"/>
    <w:rsid w:val="00723E53"/>
    <w:rsid w:val="00723E60"/>
    <w:rsid w:val="00723F3C"/>
    <w:rsid w:val="007241B2"/>
    <w:rsid w:val="007244F0"/>
    <w:rsid w:val="007249D7"/>
    <w:rsid w:val="0072544B"/>
    <w:rsid w:val="00725544"/>
    <w:rsid w:val="00726733"/>
    <w:rsid w:val="0072703D"/>
    <w:rsid w:val="0072735D"/>
    <w:rsid w:val="00727F68"/>
    <w:rsid w:val="00731C98"/>
    <w:rsid w:val="00731D61"/>
    <w:rsid w:val="007324B1"/>
    <w:rsid w:val="00732667"/>
    <w:rsid w:val="0073335C"/>
    <w:rsid w:val="00733C37"/>
    <w:rsid w:val="007346F3"/>
    <w:rsid w:val="00734703"/>
    <w:rsid w:val="00734B82"/>
    <w:rsid w:val="007357A1"/>
    <w:rsid w:val="00735E58"/>
    <w:rsid w:val="00736F50"/>
    <w:rsid w:val="007376C0"/>
    <w:rsid w:val="00740260"/>
    <w:rsid w:val="0074071F"/>
    <w:rsid w:val="007408AD"/>
    <w:rsid w:val="00740B24"/>
    <w:rsid w:val="0074124C"/>
    <w:rsid w:val="0074144B"/>
    <w:rsid w:val="0074156F"/>
    <w:rsid w:val="00741A0E"/>
    <w:rsid w:val="00741F3D"/>
    <w:rsid w:val="0074258C"/>
    <w:rsid w:val="00743040"/>
    <w:rsid w:val="00744EB3"/>
    <w:rsid w:val="00746258"/>
    <w:rsid w:val="0074650D"/>
    <w:rsid w:val="007505B4"/>
    <w:rsid w:val="00750D34"/>
    <w:rsid w:val="00751561"/>
    <w:rsid w:val="00752242"/>
    <w:rsid w:val="007537FC"/>
    <w:rsid w:val="007538F9"/>
    <w:rsid w:val="00753BFC"/>
    <w:rsid w:val="00754616"/>
    <w:rsid w:val="007546E7"/>
    <w:rsid w:val="007547C6"/>
    <w:rsid w:val="00754A89"/>
    <w:rsid w:val="007552F5"/>
    <w:rsid w:val="00755572"/>
    <w:rsid w:val="0075583F"/>
    <w:rsid w:val="00755BA8"/>
    <w:rsid w:val="00755FA1"/>
    <w:rsid w:val="007565F8"/>
    <w:rsid w:val="007566CC"/>
    <w:rsid w:val="0076087E"/>
    <w:rsid w:val="00761DE1"/>
    <w:rsid w:val="007627F4"/>
    <w:rsid w:val="00762B6E"/>
    <w:rsid w:val="00762EDE"/>
    <w:rsid w:val="00762F46"/>
    <w:rsid w:val="00763B08"/>
    <w:rsid w:val="00763BBA"/>
    <w:rsid w:val="00763E79"/>
    <w:rsid w:val="00764323"/>
    <w:rsid w:val="00765C0A"/>
    <w:rsid w:val="00765F45"/>
    <w:rsid w:val="007662BB"/>
    <w:rsid w:val="007702D8"/>
    <w:rsid w:val="00771D0C"/>
    <w:rsid w:val="007731C6"/>
    <w:rsid w:val="007738A7"/>
    <w:rsid w:val="0077463C"/>
    <w:rsid w:val="00774821"/>
    <w:rsid w:val="0077523C"/>
    <w:rsid w:val="00775380"/>
    <w:rsid w:val="0077570D"/>
    <w:rsid w:val="00775D6E"/>
    <w:rsid w:val="00775E71"/>
    <w:rsid w:val="007771F0"/>
    <w:rsid w:val="0077740E"/>
    <w:rsid w:val="00777A28"/>
    <w:rsid w:val="00777EEB"/>
    <w:rsid w:val="00780DB1"/>
    <w:rsid w:val="00782D1A"/>
    <w:rsid w:val="00782EAA"/>
    <w:rsid w:val="00783BCB"/>
    <w:rsid w:val="00784A5F"/>
    <w:rsid w:val="00785C75"/>
    <w:rsid w:val="007862A2"/>
    <w:rsid w:val="0079014E"/>
    <w:rsid w:val="0079045F"/>
    <w:rsid w:val="00791597"/>
    <w:rsid w:val="00791F3D"/>
    <w:rsid w:val="00793569"/>
    <w:rsid w:val="0079455A"/>
    <w:rsid w:val="007947F2"/>
    <w:rsid w:val="007957ED"/>
    <w:rsid w:val="007978F5"/>
    <w:rsid w:val="007A0D5E"/>
    <w:rsid w:val="007A148C"/>
    <w:rsid w:val="007A1A6A"/>
    <w:rsid w:val="007A387C"/>
    <w:rsid w:val="007A451C"/>
    <w:rsid w:val="007A5A6B"/>
    <w:rsid w:val="007A62A2"/>
    <w:rsid w:val="007B17F3"/>
    <w:rsid w:val="007B3CEF"/>
    <w:rsid w:val="007B435B"/>
    <w:rsid w:val="007B497C"/>
    <w:rsid w:val="007B6687"/>
    <w:rsid w:val="007B6DA9"/>
    <w:rsid w:val="007B7055"/>
    <w:rsid w:val="007C0775"/>
    <w:rsid w:val="007C180B"/>
    <w:rsid w:val="007C217F"/>
    <w:rsid w:val="007C2408"/>
    <w:rsid w:val="007C2E1B"/>
    <w:rsid w:val="007C4124"/>
    <w:rsid w:val="007C468A"/>
    <w:rsid w:val="007C4748"/>
    <w:rsid w:val="007C4B0E"/>
    <w:rsid w:val="007C798F"/>
    <w:rsid w:val="007D0A18"/>
    <w:rsid w:val="007D184A"/>
    <w:rsid w:val="007D1CC3"/>
    <w:rsid w:val="007D26AA"/>
    <w:rsid w:val="007D29F1"/>
    <w:rsid w:val="007D3964"/>
    <w:rsid w:val="007D41AF"/>
    <w:rsid w:val="007D5988"/>
    <w:rsid w:val="007D5DAB"/>
    <w:rsid w:val="007D64B4"/>
    <w:rsid w:val="007D6704"/>
    <w:rsid w:val="007D72F4"/>
    <w:rsid w:val="007D79C4"/>
    <w:rsid w:val="007E09A9"/>
    <w:rsid w:val="007E10D8"/>
    <w:rsid w:val="007E1202"/>
    <w:rsid w:val="007E1AC6"/>
    <w:rsid w:val="007E1BE3"/>
    <w:rsid w:val="007E235E"/>
    <w:rsid w:val="007E2852"/>
    <w:rsid w:val="007E2AAE"/>
    <w:rsid w:val="007E3D91"/>
    <w:rsid w:val="007E4128"/>
    <w:rsid w:val="007E47DE"/>
    <w:rsid w:val="007E5D67"/>
    <w:rsid w:val="007E64F4"/>
    <w:rsid w:val="007E7CE3"/>
    <w:rsid w:val="007E7E6A"/>
    <w:rsid w:val="007F040A"/>
    <w:rsid w:val="007F0931"/>
    <w:rsid w:val="007F1456"/>
    <w:rsid w:val="007F1E8D"/>
    <w:rsid w:val="007F25B1"/>
    <w:rsid w:val="007F265D"/>
    <w:rsid w:val="007F3536"/>
    <w:rsid w:val="007F4F58"/>
    <w:rsid w:val="007F7E05"/>
    <w:rsid w:val="00801412"/>
    <w:rsid w:val="0080144E"/>
    <w:rsid w:val="008020C1"/>
    <w:rsid w:val="008036D5"/>
    <w:rsid w:val="00804AA8"/>
    <w:rsid w:val="00804C34"/>
    <w:rsid w:val="00804DEA"/>
    <w:rsid w:val="00805110"/>
    <w:rsid w:val="008054C9"/>
    <w:rsid w:val="00805788"/>
    <w:rsid w:val="00806BDE"/>
    <w:rsid w:val="00807104"/>
    <w:rsid w:val="00810D59"/>
    <w:rsid w:val="00810F25"/>
    <w:rsid w:val="0081106D"/>
    <w:rsid w:val="008118FF"/>
    <w:rsid w:val="0081318D"/>
    <w:rsid w:val="00813CB2"/>
    <w:rsid w:val="00813CFA"/>
    <w:rsid w:val="008149C5"/>
    <w:rsid w:val="00814FAE"/>
    <w:rsid w:val="008166A0"/>
    <w:rsid w:val="00816E1C"/>
    <w:rsid w:val="00816ED7"/>
    <w:rsid w:val="00817B76"/>
    <w:rsid w:val="00820218"/>
    <w:rsid w:val="00820310"/>
    <w:rsid w:val="0082113F"/>
    <w:rsid w:val="00821217"/>
    <w:rsid w:val="00821284"/>
    <w:rsid w:val="00823768"/>
    <w:rsid w:val="00824131"/>
    <w:rsid w:val="00824AE9"/>
    <w:rsid w:val="00825C14"/>
    <w:rsid w:val="008268FD"/>
    <w:rsid w:val="00827152"/>
    <w:rsid w:val="008279A5"/>
    <w:rsid w:val="008303BF"/>
    <w:rsid w:val="008317E4"/>
    <w:rsid w:val="00832250"/>
    <w:rsid w:val="008324B3"/>
    <w:rsid w:val="00832D1E"/>
    <w:rsid w:val="00833B5E"/>
    <w:rsid w:val="00834333"/>
    <w:rsid w:val="008351D9"/>
    <w:rsid w:val="00835229"/>
    <w:rsid w:val="00835BF1"/>
    <w:rsid w:val="00836C3F"/>
    <w:rsid w:val="00837203"/>
    <w:rsid w:val="00837C41"/>
    <w:rsid w:val="008401D1"/>
    <w:rsid w:val="00840323"/>
    <w:rsid w:val="008408EB"/>
    <w:rsid w:val="00840D9F"/>
    <w:rsid w:val="00842EE1"/>
    <w:rsid w:val="0084373C"/>
    <w:rsid w:val="00843765"/>
    <w:rsid w:val="00844D2A"/>
    <w:rsid w:val="008459A9"/>
    <w:rsid w:val="00846C3C"/>
    <w:rsid w:val="00847393"/>
    <w:rsid w:val="008503BC"/>
    <w:rsid w:val="00850488"/>
    <w:rsid w:val="00850BEB"/>
    <w:rsid w:val="00850DA4"/>
    <w:rsid w:val="00851691"/>
    <w:rsid w:val="00851886"/>
    <w:rsid w:val="00853DB2"/>
    <w:rsid w:val="0085416A"/>
    <w:rsid w:val="008543AD"/>
    <w:rsid w:val="0085489A"/>
    <w:rsid w:val="00855A31"/>
    <w:rsid w:val="00855B9D"/>
    <w:rsid w:val="008566B7"/>
    <w:rsid w:val="00857102"/>
    <w:rsid w:val="008573FD"/>
    <w:rsid w:val="008576B9"/>
    <w:rsid w:val="00860547"/>
    <w:rsid w:val="00861210"/>
    <w:rsid w:val="00861439"/>
    <w:rsid w:val="00861A83"/>
    <w:rsid w:val="00862677"/>
    <w:rsid w:val="00862D71"/>
    <w:rsid w:val="0086302D"/>
    <w:rsid w:val="0086348A"/>
    <w:rsid w:val="00863636"/>
    <w:rsid w:val="008636F9"/>
    <w:rsid w:val="00863700"/>
    <w:rsid w:val="0086467F"/>
    <w:rsid w:val="00865455"/>
    <w:rsid w:val="00865A4E"/>
    <w:rsid w:val="00865B1C"/>
    <w:rsid w:val="00865CF2"/>
    <w:rsid w:val="00865E1D"/>
    <w:rsid w:val="00866896"/>
    <w:rsid w:val="00866933"/>
    <w:rsid w:val="00867005"/>
    <w:rsid w:val="00867754"/>
    <w:rsid w:val="00867DAC"/>
    <w:rsid w:val="00873B8C"/>
    <w:rsid w:val="00873D9F"/>
    <w:rsid w:val="0087488D"/>
    <w:rsid w:val="0087496D"/>
    <w:rsid w:val="00875488"/>
    <w:rsid w:val="00875C33"/>
    <w:rsid w:val="0087629D"/>
    <w:rsid w:val="00877868"/>
    <w:rsid w:val="008802CB"/>
    <w:rsid w:val="008806EF"/>
    <w:rsid w:val="00880B8C"/>
    <w:rsid w:val="00880C7E"/>
    <w:rsid w:val="00881E0F"/>
    <w:rsid w:val="0088211D"/>
    <w:rsid w:val="008823B4"/>
    <w:rsid w:val="0088280C"/>
    <w:rsid w:val="00882E5D"/>
    <w:rsid w:val="00886639"/>
    <w:rsid w:val="00886C1B"/>
    <w:rsid w:val="0088787D"/>
    <w:rsid w:val="008908F6"/>
    <w:rsid w:val="00891285"/>
    <w:rsid w:val="008933DA"/>
    <w:rsid w:val="008936BD"/>
    <w:rsid w:val="00893855"/>
    <w:rsid w:val="0089433E"/>
    <w:rsid w:val="0089477F"/>
    <w:rsid w:val="00894C66"/>
    <w:rsid w:val="008953D1"/>
    <w:rsid w:val="008958D6"/>
    <w:rsid w:val="00895984"/>
    <w:rsid w:val="00895F4D"/>
    <w:rsid w:val="00896EC5"/>
    <w:rsid w:val="008970FF"/>
    <w:rsid w:val="00897B54"/>
    <w:rsid w:val="008A1725"/>
    <w:rsid w:val="008A19D7"/>
    <w:rsid w:val="008A21E1"/>
    <w:rsid w:val="008A2CEF"/>
    <w:rsid w:val="008A3AB0"/>
    <w:rsid w:val="008A4B8F"/>
    <w:rsid w:val="008A4CA6"/>
    <w:rsid w:val="008A4D17"/>
    <w:rsid w:val="008A4FF9"/>
    <w:rsid w:val="008A5A69"/>
    <w:rsid w:val="008A5E71"/>
    <w:rsid w:val="008A6D0A"/>
    <w:rsid w:val="008A728D"/>
    <w:rsid w:val="008B01FB"/>
    <w:rsid w:val="008B14C0"/>
    <w:rsid w:val="008B2BC6"/>
    <w:rsid w:val="008B3356"/>
    <w:rsid w:val="008B550C"/>
    <w:rsid w:val="008B55A7"/>
    <w:rsid w:val="008C1731"/>
    <w:rsid w:val="008C228C"/>
    <w:rsid w:val="008C271F"/>
    <w:rsid w:val="008C27AB"/>
    <w:rsid w:val="008C30D7"/>
    <w:rsid w:val="008C3FD1"/>
    <w:rsid w:val="008C487C"/>
    <w:rsid w:val="008C49E7"/>
    <w:rsid w:val="008C4AB2"/>
    <w:rsid w:val="008C5D70"/>
    <w:rsid w:val="008C744A"/>
    <w:rsid w:val="008D01EB"/>
    <w:rsid w:val="008D084C"/>
    <w:rsid w:val="008D1E48"/>
    <w:rsid w:val="008D26E1"/>
    <w:rsid w:val="008D38F6"/>
    <w:rsid w:val="008D42D4"/>
    <w:rsid w:val="008D5C59"/>
    <w:rsid w:val="008E032C"/>
    <w:rsid w:val="008E1261"/>
    <w:rsid w:val="008E1AB2"/>
    <w:rsid w:val="008E2083"/>
    <w:rsid w:val="008E24A0"/>
    <w:rsid w:val="008E3CBF"/>
    <w:rsid w:val="008E4474"/>
    <w:rsid w:val="008E4510"/>
    <w:rsid w:val="008E515C"/>
    <w:rsid w:val="008E5476"/>
    <w:rsid w:val="008E5746"/>
    <w:rsid w:val="008E5DB7"/>
    <w:rsid w:val="008E6C74"/>
    <w:rsid w:val="008E70FD"/>
    <w:rsid w:val="008F0372"/>
    <w:rsid w:val="008F098B"/>
    <w:rsid w:val="008F1C0B"/>
    <w:rsid w:val="008F1EA4"/>
    <w:rsid w:val="008F25C8"/>
    <w:rsid w:val="008F3F6D"/>
    <w:rsid w:val="008F4745"/>
    <w:rsid w:val="008F4EE0"/>
    <w:rsid w:val="008F529D"/>
    <w:rsid w:val="008F57E2"/>
    <w:rsid w:val="008F58E9"/>
    <w:rsid w:val="008F6668"/>
    <w:rsid w:val="008F79D2"/>
    <w:rsid w:val="00900549"/>
    <w:rsid w:val="009007A0"/>
    <w:rsid w:val="00900B25"/>
    <w:rsid w:val="00900D9A"/>
    <w:rsid w:val="00901AB7"/>
    <w:rsid w:val="00901E56"/>
    <w:rsid w:val="00902BCE"/>
    <w:rsid w:val="00902F32"/>
    <w:rsid w:val="0090313F"/>
    <w:rsid w:val="009032CC"/>
    <w:rsid w:val="0090376A"/>
    <w:rsid w:val="009037AF"/>
    <w:rsid w:val="009038C2"/>
    <w:rsid w:val="00903C8B"/>
    <w:rsid w:val="00904B30"/>
    <w:rsid w:val="0090522F"/>
    <w:rsid w:val="00905BF5"/>
    <w:rsid w:val="00905C69"/>
    <w:rsid w:val="00906E0E"/>
    <w:rsid w:val="009106B7"/>
    <w:rsid w:val="00910ECF"/>
    <w:rsid w:val="00911133"/>
    <w:rsid w:val="00911B4C"/>
    <w:rsid w:val="0091396A"/>
    <w:rsid w:val="00913EA6"/>
    <w:rsid w:val="009158A6"/>
    <w:rsid w:val="00915D0B"/>
    <w:rsid w:val="0091623D"/>
    <w:rsid w:val="00916326"/>
    <w:rsid w:val="00916AA9"/>
    <w:rsid w:val="00917854"/>
    <w:rsid w:val="00920168"/>
    <w:rsid w:val="0092039D"/>
    <w:rsid w:val="009222A4"/>
    <w:rsid w:val="00923BE2"/>
    <w:rsid w:val="00924620"/>
    <w:rsid w:val="009250D0"/>
    <w:rsid w:val="009259CF"/>
    <w:rsid w:val="00926707"/>
    <w:rsid w:val="00926BAF"/>
    <w:rsid w:val="00927A04"/>
    <w:rsid w:val="00927E84"/>
    <w:rsid w:val="00932855"/>
    <w:rsid w:val="00932F84"/>
    <w:rsid w:val="00933450"/>
    <w:rsid w:val="00933DA1"/>
    <w:rsid w:val="00936B1C"/>
    <w:rsid w:val="009373FF"/>
    <w:rsid w:val="0094003E"/>
    <w:rsid w:val="00940C2D"/>
    <w:rsid w:val="00940D61"/>
    <w:rsid w:val="00941BB7"/>
    <w:rsid w:val="009425B3"/>
    <w:rsid w:val="00942F40"/>
    <w:rsid w:val="009434FD"/>
    <w:rsid w:val="00943981"/>
    <w:rsid w:val="009444CA"/>
    <w:rsid w:val="00944C89"/>
    <w:rsid w:val="00945289"/>
    <w:rsid w:val="009464E9"/>
    <w:rsid w:val="00946E2D"/>
    <w:rsid w:val="00947C6E"/>
    <w:rsid w:val="009501A1"/>
    <w:rsid w:val="009501BF"/>
    <w:rsid w:val="00950413"/>
    <w:rsid w:val="00951225"/>
    <w:rsid w:val="009528FC"/>
    <w:rsid w:val="00953006"/>
    <w:rsid w:val="00953CC3"/>
    <w:rsid w:val="00953D07"/>
    <w:rsid w:val="009541CB"/>
    <w:rsid w:val="00954623"/>
    <w:rsid w:val="009549E9"/>
    <w:rsid w:val="00954B06"/>
    <w:rsid w:val="00954B69"/>
    <w:rsid w:val="009571BD"/>
    <w:rsid w:val="00957DC6"/>
    <w:rsid w:val="00957E40"/>
    <w:rsid w:val="009607FF"/>
    <w:rsid w:val="009629F3"/>
    <w:rsid w:val="00962B83"/>
    <w:rsid w:val="00962FAA"/>
    <w:rsid w:val="009631A3"/>
    <w:rsid w:val="00963208"/>
    <w:rsid w:val="0096393C"/>
    <w:rsid w:val="00963D72"/>
    <w:rsid w:val="009652DE"/>
    <w:rsid w:val="00965413"/>
    <w:rsid w:val="00965D01"/>
    <w:rsid w:val="00965EF9"/>
    <w:rsid w:val="009702F4"/>
    <w:rsid w:val="00970BC0"/>
    <w:rsid w:val="00970DB0"/>
    <w:rsid w:val="00971430"/>
    <w:rsid w:val="0097167E"/>
    <w:rsid w:val="00971689"/>
    <w:rsid w:val="00972935"/>
    <w:rsid w:val="00972DC2"/>
    <w:rsid w:val="0097315F"/>
    <w:rsid w:val="00973927"/>
    <w:rsid w:val="009739E8"/>
    <w:rsid w:val="00975ECB"/>
    <w:rsid w:val="00976587"/>
    <w:rsid w:val="009773DC"/>
    <w:rsid w:val="009801A6"/>
    <w:rsid w:val="009823A7"/>
    <w:rsid w:val="0098345F"/>
    <w:rsid w:val="009835BA"/>
    <w:rsid w:val="00983B17"/>
    <w:rsid w:val="009842AF"/>
    <w:rsid w:val="00984ECF"/>
    <w:rsid w:val="0098586F"/>
    <w:rsid w:val="009871C8"/>
    <w:rsid w:val="0099024C"/>
    <w:rsid w:val="00990452"/>
    <w:rsid w:val="00992016"/>
    <w:rsid w:val="00993D21"/>
    <w:rsid w:val="00993F33"/>
    <w:rsid w:val="009951B2"/>
    <w:rsid w:val="009958F1"/>
    <w:rsid w:val="00995A2B"/>
    <w:rsid w:val="009973D7"/>
    <w:rsid w:val="0099747C"/>
    <w:rsid w:val="00997FA3"/>
    <w:rsid w:val="009A0135"/>
    <w:rsid w:val="009A0A77"/>
    <w:rsid w:val="009A0F25"/>
    <w:rsid w:val="009A0F7E"/>
    <w:rsid w:val="009A1AF3"/>
    <w:rsid w:val="009A3401"/>
    <w:rsid w:val="009A3EC0"/>
    <w:rsid w:val="009A489A"/>
    <w:rsid w:val="009A7300"/>
    <w:rsid w:val="009A7478"/>
    <w:rsid w:val="009A7C75"/>
    <w:rsid w:val="009A7F75"/>
    <w:rsid w:val="009B002F"/>
    <w:rsid w:val="009B1345"/>
    <w:rsid w:val="009B152E"/>
    <w:rsid w:val="009B1CB6"/>
    <w:rsid w:val="009B250D"/>
    <w:rsid w:val="009B3EF4"/>
    <w:rsid w:val="009B4060"/>
    <w:rsid w:val="009B4718"/>
    <w:rsid w:val="009B4C7C"/>
    <w:rsid w:val="009B6053"/>
    <w:rsid w:val="009B6C3F"/>
    <w:rsid w:val="009B7534"/>
    <w:rsid w:val="009B7B7F"/>
    <w:rsid w:val="009B7EC6"/>
    <w:rsid w:val="009C0394"/>
    <w:rsid w:val="009C07C7"/>
    <w:rsid w:val="009C0865"/>
    <w:rsid w:val="009C0AFB"/>
    <w:rsid w:val="009C0CF5"/>
    <w:rsid w:val="009C1A09"/>
    <w:rsid w:val="009C2264"/>
    <w:rsid w:val="009C2589"/>
    <w:rsid w:val="009C2794"/>
    <w:rsid w:val="009C47EB"/>
    <w:rsid w:val="009C5A1F"/>
    <w:rsid w:val="009C5C2C"/>
    <w:rsid w:val="009D021E"/>
    <w:rsid w:val="009D0280"/>
    <w:rsid w:val="009D0CB4"/>
    <w:rsid w:val="009D22C7"/>
    <w:rsid w:val="009D3F1B"/>
    <w:rsid w:val="009D714B"/>
    <w:rsid w:val="009D79E6"/>
    <w:rsid w:val="009E049F"/>
    <w:rsid w:val="009E07EC"/>
    <w:rsid w:val="009E0A85"/>
    <w:rsid w:val="009E175B"/>
    <w:rsid w:val="009E3C80"/>
    <w:rsid w:val="009E4215"/>
    <w:rsid w:val="009E5639"/>
    <w:rsid w:val="009E6A40"/>
    <w:rsid w:val="009E6CF3"/>
    <w:rsid w:val="009E7192"/>
    <w:rsid w:val="009F06C7"/>
    <w:rsid w:val="009F122F"/>
    <w:rsid w:val="009F16C6"/>
    <w:rsid w:val="009F1989"/>
    <w:rsid w:val="009F2278"/>
    <w:rsid w:val="009F26A9"/>
    <w:rsid w:val="009F2B79"/>
    <w:rsid w:val="009F2ECB"/>
    <w:rsid w:val="009F363A"/>
    <w:rsid w:val="009F3ECC"/>
    <w:rsid w:val="009F43B8"/>
    <w:rsid w:val="009F573A"/>
    <w:rsid w:val="009F7146"/>
    <w:rsid w:val="009F71A8"/>
    <w:rsid w:val="009F7E2A"/>
    <w:rsid w:val="009F7F23"/>
    <w:rsid w:val="00A00910"/>
    <w:rsid w:val="00A00D2F"/>
    <w:rsid w:val="00A01279"/>
    <w:rsid w:val="00A0204D"/>
    <w:rsid w:val="00A0213A"/>
    <w:rsid w:val="00A024EE"/>
    <w:rsid w:val="00A025E8"/>
    <w:rsid w:val="00A028FE"/>
    <w:rsid w:val="00A03488"/>
    <w:rsid w:val="00A03945"/>
    <w:rsid w:val="00A04248"/>
    <w:rsid w:val="00A0597A"/>
    <w:rsid w:val="00A06375"/>
    <w:rsid w:val="00A074AA"/>
    <w:rsid w:val="00A07AA5"/>
    <w:rsid w:val="00A07F88"/>
    <w:rsid w:val="00A102B9"/>
    <w:rsid w:val="00A1381F"/>
    <w:rsid w:val="00A13832"/>
    <w:rsid w:val="00A14B47"/>
    <w:rsid w:val="00A15431"/>
    <w:rsid w:val="00A15555"/>
    <w:rsid w:val="00A15863"/>
    <w:rsid w:val="00A159E8"/>
    <w:rsid w:val="00A15C7B"/>
    <w:rsid w:val="00A16903"/>
    <w:rsid w:val="00A16F3F"/>
    <w:rsid w:val="00A217DE"/>
    <w:rsid w:val="00A21AB8"/>
    <w:rsid w:val="00A22D9A"/>
    <w:rsid w:val="00A23731"/>
    <w:rsid w:val="00A24DE4"/>
    <w:rsid w:val="00A2500E"/>
    <w:rsid w:val="00A25109"/>
    <w:rsid w:val="00A255AB"/>
    <w:rsid w:val="00A2567B"/>
    <w:rsid w:val="00A25999"/>
    <w:rsid w:val="00A26093"/>
    <w:rsid w:val="00A26E21"/>
    <w:rsid w:val="00A27056"/>
    <w:rsid w:val="00A277A2"/>
    <w:rsid w:val="00A27C13"/>
    <w:rsid w:val="00A27F5E"/>
    <w:rsid w:val="00A325B8"/>
    <w:rsid w:val="00A32C6E"/>
    <w:rsid w:val="00A3324F"/>
    <w:rsid w:val="00A332F1"/>
    <w:rsid w:val="00A33A37"/>
    <w:rsid w:val="00A33F25"/>
    <w:rsid w:val="00A34664"/>
    <w:rsid w:val="00A346E4"/>
    <w:rsid w:val="00A34B7D"/>
    <w:rsid w:val="00A356EB"/>
    <w:rsid w:val="00A357CE"/>
    <w:rsid w:val="00A36A16"/>
    <w:rsid w:val="00A3759D"/>
    <w:rsid w:val="00A402BB"/>
    <w:rsid w:val="00A40414"/>
    <w:rsid w:val="00A423A6"/>
    <w:rsid w:val="00A4247F"/>
    <w:rsid w:val="00A43898"/>
    <w:rsid w:val="00A45D89"/>
    <w:rsid w:val="00A46244"/>
    <w:rsid w:val="00A46C5C"/>
    <w:rsid w:val="00A4715C"/>
    <w:rsid w:val="00A4742A"/>
    <w:rsid w:val="00A47D04"/>
    <w:rsid w:val="00A5096F"/>
    <w:rsid w:val="00A509FB"/>
    <w:rsid w:val="00A512ED"/>
    <w:rsid w:val="00A519D7"/>
    <w:rsid w:val="00A51CCD"/>
    <w:rsid w:val="00A52A86"/>
    <w:rsid w:val="00A534A3"/>
    <w:rsid w:val="00A53BCB"/>
    <w:rsid w:val="00A54E1F"/>
    <w:rsid w:val="00A55747"/>
    <w:rsid w:val="00A55E5B"/>
    <w:rsid w:val="00A56221"/>
    <w:rsid w:val="00A6018E"/>
    <w:rsid w:val="00A6024C"/>
    <w:rsid w:val="00A60783"/>
    <w:rsid w:val="00A6102B"/>
    <w:rsid w:val="00A61583"/>
    <w:rsid w:val="00A64569"/>
    <w:rsid w:val="00A65B32"/>
    <w:rsid w:val="00A6700D"/>
    <w:rsid w:val="00A679BD"/>
    <w:rsid w:val="00A70AFD"/>
    <w:rsid w:val="00A71B8D"/>
    <w:rsid w:val="00A73314"/>
    <w:rsid w:val="00A74201"/>
    <w:rsid w:val="00A74377"/>
    <w:rsid w:val="00A75157"/>
    <w:rsid w:val="00A7545B"/>
    <w:rsid w:val="00A755C8"/>
    <w:rsid w:val="00A75A9F"/>
    <w:rsid w:val="00A760DF"/>
    <w:rsid w:val="00A77B4E"/>
    <w:rsid w:val="00A80F68"/>
    <w:rsid w:val="00A8136B"/>
    <w:rsid w:val="00A81BE8"/>
    <w:rsid w:val="00A81C93"/>
    <w:rsid w:val="00A81CCF"/>
    <w:rsid w:val="00A82816"/>
    <w:rsid w:val="00A82B05"/>
    <w:rsid w:val="00A830DA"/>
    <w:rsid w:val="00A836BD"/>
    <w:rsid w:val="00A84528"/>
    <w:rsid w:val="00A8491D"/>
    <w:rsid w:val="00A84C25"/>
    <w:rsid w:val="00A85196"/>
    <w:rsid w:val="00A85A39"/>
    <w:rsid w:val="00A85D57"/>
    <w:rsid w:val="00A85F7B"/>
    <w:rsid w:val="00A864A0"/>
    <w:rsid w:val="00A86DA5"/>
    <w:rsid w:val="00A87849"/>
    <w:rsid w:val="00A90028"/>
    <w:rsid w:val="00A908FF"/>
    <w:rsid w:val="00A912BD"/>
    <w:rsid w:val="00A93777"/>
    <w:rsid w:val="00A93FD8"/>
    <w:rsid w:val="00A94ABE"/>
    <w:rsid w:val="00A95347"/>
    <w:rsid w:val="00A956E1"/>
    <w:rsid w:val="00A9700B"/>
    <w:rsid w:val="00A97B8C"/>
    <w:rsid w:val="00A97C4A"/>
    <w:rsid w:val="00AA0107"/>
    <w:rsid w:val="00AA0D3E"/>
    <w:rsid w:val="00AA1205"/>
    <w:rsid w:val="00AA1287"/>
    <w:rsid w:val="00AA1575"/>
    <w:rsid w:val="00AA166A"/>
    <w:rsid w:val="00AA2272"/>
    <w:rsid w:val="00AA2FA4"/>
    <w:rsid w:val="00AA4881"/>
    <w:rsid w:val="00AA4976"/>
    <w:rsid w:val="00AA5961"/>
    <w:rsid w:val="00AA5CD0"/>
    <w:rsid w:val="00AA6814"/>
    <w:rsid w:val="00AA6CE9"/>
    <w:rsid w:val="00AA7EF0"/>
    <w:rsid w:val="00AB0240"/>
    <w:rsid w:val="00AB0385"/>
    <w:rsid w:val="00AB13B0"/>
    <w:rsid w:val="00AB1B80"/>
    <w:rsid w:val="00AB25CB"/>
    <w:rsid w:val="00AB4651"/>
    <w:rsid w:val="00AB4CFE"/>
    <w:rsid w:val="00AB7127"/>
    <w:rsid w:val="00AB7E8C"/>
    <w:rsid w:val="00AC132D"/>
    <w:rsid w:val="00AC2028"/>
    <w:rsid w:val="00AC2186"/>
    <w:rsid w:val="00AC25E4"/>
    <w:rsid w:val="00AC4173"/>
    <w:rsid w:val="00AC41DE"/>
    <w:rsid w:val="00AC6B93"/>
    <w:rsid w:val="00AC7255"/>
    <w:rsid w:val="00AC7F1D"/>
    <w:rsid w:val="00AD287C"/>
    <w:rsid w:val="00AD291D"/>
    <w:rsid w:val="00AD4243"/>
    <w:rsid w:val="00AD4D62"/>
    <w:rsid w:val="00AD6316"/>
    <w:rsid w:val="00AD6846"/>
    <w:rsid w:val="00AD7C8E"/>
    <w:rsid w:val="00AE051C"/>
    <w:rsid w:val="00AE0558"/>
    <w:rsid w:val="00AE0918"/>
    <w:rsid w:val="00AE09FA"/>
    <w:rsid w:val="00AE16B0"/>
    <w:rsid w:val="00AE1E6E"/>
    <w:rsid w:val="00AE22E1"/>
    <w:rsid w:val="00AE4181"/>
    <w:rsid w:val="00AE4FEA"/>
    <w:rsid w:val="00AE50AD"/>
    <w:rsid w:val="00AE5462"/>
    <w:rsid w:val="00AE70FC"/>
    <w:rsid w:val="00AE77EB"/>
    <w:rsid w:val="00AF042E"/>
    <w:rsid w:val="00AF0EBA"/>
    <w:rsid w:val="00AF1AFE"/>
    <w:rsid w:val="00AF1BBC"/>
    <w:rsid w:val="00AF3271"/>
    <w:rsid w:val="00AF3581"/>
    <w:rsid w:val="00AF3867"/>
    <w:rsid w:val="00AF653A"/>
    <w:rsid w:val="00B00145"/>
    <w:rsid w:val="00B00506"/>
    <w:rsid w:val="00B008F9"/>
    <w:rsid w:val="00B01DB1"/>
    <w:rsid w:val="00B025B9"/>
    <w:rsid w:val="00B029C0"/>
    <w:rsid w:val="00B0426B"/>
    <w:rsid w:val="00B047A9"/>
    <w:rsid w:val="00B04DA6"/>
    <w:rsid w:val="00B058CF"/>
    <w:rsid w:val="00B05AC8"/>
    <w:rsid w:val="00B06848"/>
    <w:rsid w:val="00B06E6B"/>
    <w:rsid w:val="00B1178A"/>
    <w:rsid w:val="00B14A7F"/>
    <w:rsid w:val="00B14B84"/>
    <w:rsid w:val="00B15325"/>
    <w:rsid w:val="00B15671"/>
    <w:rsid w:val="00B174E0"/>
    <w:rsid w:val="00B17A62"/>
    <w:rsid w:val="00B17D79"/>
    <w:rsid w:val="00B2102D"/>
    <w:rsid w:val="00B21F6D"/>
    <w:rsid w:val="00B2212A"/>
    <w:rsid w:val="00B229D4"/>
    <w:rsid w:val="00B23980"/>
    <w:rsid w:val="00B239E5"/>
    <w:rsid w:val="00B23FDA"/>
    <w:rsid w:val="00B2428C"/>
    <w:rsid w:val="00B24451"/>
    <w:rsid w:val="00B24548"/>
    <w:rsid w:val="00B24743"/>
    <w:rsid w:val="00B24AA2"/>
    <w:rsid w:val="00B26B38"/>
    <w:rsid w:val="00B27E6E"/>
    <w:rsid w:val="00B30128"/>
    <w:rsid w:val="00B30470"/>
    <w:rsid w:val="00B310D2"/>
    <w:rsid w:val="00B33012"/>
    <w:rsid w:val="00B33A43"/>
    <w:rsid w:val="00B3443B"/>
    <w:rsid w:val="00B34E9A"/>
    <w:rsid w:val="00B34F9B"/>
    <w:rsid w:val="00B35127"/>
    <w:rsid w:val="00B367FC"/>
    <w:rsid w:val="00B37309"/>
    <w:rsid w:val="00B37473"/>
    <w:rsid w:val="00B37909"/>
    <w:rsid w:val="00B37C65"/>
    <w:rsid w:val="00B40D60"/>
    <w:rsid w:val="00B41A48"/>
    <w:rsid w:val="00B41CAB"/>
    <w:rsid w:val="00B41D22"/>
    <w:rsid w:val="00B41F08"/>
    <w:rsid w:val="00B43025"/>
    <w:rsid w:val="00B4364D"/>
    <w:rsid w:val="00B442EB"/>
    <w:rsid w:val="00B4529B"/>
    <w:rsid w:val="00B45987"/>
    <w:rsid w:val="00B477ED"/>
    <w:rsid w:val="00B4781C"/>
    <w:rsid w:val="00B50835"/>
    <w:rsid w:val="00B51EAB"/>
    <w:rsid w:val="00B52327"/>
    <w:rsid w:val="00B52CAD"/>
    <w:rsid w:val="00B537FA"/>
    <w:rsid w:val="00B53C98"/>
    <w:rsid w:val="00B53CA3"/>
    <w:rsid w:val="00B54460"/>
    <w:rsid w:val="00B545A7"/>
    <w:rsid w:val="00B558A6"/>
    <w:rsid w:val="00B55AD8"/>
    <w:rsid w:val="00B578C0"/>
    <w:rsid w:val="00B57FF2"/>
    <w:rsid w:val="00B60C25"/>
    <w:rsid w:val="00B60D17"/>
    <w:rsid w:val="00B61DD2"/>
    <w:rsid w:val="00B62429"/>
    <w:rsid w:val="00B62CD4"/>
    <w:rsid w:val="00B65D3C"/>
    <w:rsid w:val="00B67711"/>
    <w:rsid w:val="00B706FD"/>
    <w:rsid w:val="00B70DAF"/>
    <w:rsid w:val="00B70DF3"/>
    <w:rsid w:val="00B72012"/>
    <w:rsid w:val="00B73792"/>
    <w:rsid w:val="00B73DB9"/>
    <w:rsid w:val="00B74C3B"/>
    <w:rsid w:val="00B75C4B"/>
    <w:rsid w:val="00B76D0B"/>
    <w:rsid w:val="00B779A7"/>
    <w:rsid w:val="00B80D86"/>
    <w:rsid w:val="00B813B7"/>
    <w:rsid w:val="00B81642"/>
    <w:rsid w:val="00B82391"/>
    <w:rsid w:val="00B8419F"/>
    <w:rsid w:val="00B843FD"/>
    <w:rsid w:val="00B853C0"/>
    <w:rsid w:val="00B8665A"/>
    <w:rsid w:val="00B86738"/>
    <w:rsid w:val="00B86F35"/>
    <w:rsid w:val="00B87079"/>
    <w:rsid w:val="00B875DA"/>
    <w:rsid w:val="00B90B25"/>
    <w:rsid w:val="00B917B6"/>
    <w:rsid w:val="00B92685"/>
    <w:rsid w:val="00B929B4"/>
    <w:rsid w:val="00B93A09"/>
    <w:rsid w:val="00B93EE4"/>
    <w:rsid w:val="00B944F8"/>
    <w:rsid w:val="00B9469B"/>
    <w:rsid w:val="00B94E96"/>
    <w:rsid w:val="00B9591F"/>
    <w:rsid w:val="00B96A9B"/>
    <w:rsid w:val="00B9761B"/>
    <w:rsid w:val="00B97E76"/>
    <w:rsid w:val="00BA06DB"/>
    <w:rsid w:val="00BA0B8F"/>
    <w:rsid w:val="00BA0C0B"/>
    <w:rsid w:val="00BA0CE2"/>
    <w:rsid w:val="00BA1EA6"/>
    <w:rsid w:val="00BA232D"/>
    <w:rsid w:val="00BA25A8"/>
    <w:rsid w:val="00BA2DD2"/>
    <w:rsid w:val="00BA31E8"/>
    <w:rsid w:val="00BA3688"/>
    <w:rsid w:val="00BA391C"/>
    <w:rsid w:val="00BA3D17"/>
    <w:rsid w:val="00BA4758"/>
    <w:rsid w:val="00BA4C8E"/>
    <w:rsid w:val="00BA4CCD"/>
    <w:rsid w:val="00BA4F78"/>
    <w:rsid w:val="00BA61D4"/>
    <w:rsid w:val="00BA6EED"/>
    <w:rsid w:val="00BA7A43"/>
    <w:rsid w:val="00BB01BA"/>
    <w:rsid w:val="00BB0A93"/>
    <w:rsid w:val="00BB175E"/>
    <w:rsid w:val="00BB211C"/>
    <w:rsid w:val="00BB2D0F"/>
    <w:rsid w:val="00BB2FC8"/>
    <w:rsid w:val="00BB36F6"/>
    <w:rsid w:val="00BB3764"/>
    <w:rsid w:val="00BB4532"/>
    <w:rsid w:val="00BB52D1"/>
    <w:rsid w:val="00BB5695"/>
    <w:rsid w:val="00BB577A"/>
    <w:rsid w:val="00BB60B5"/>
    <w:rsid w:val="00BB6672"/>
    <w:rsid w:val="00BB758A"/>
    <w:rsid w:val="00BB787E"/>
    <w:rsid w:val="00BC03E4"/>
    <w:rsid w:val="00BC098C"/>
    <w:rsid w:val="00BC1C0F"/>
    <w:rsid w:val="00BC239B"/>
    <w:rsid w:val="00BC26A9"/>
    <w:rsid w:val="00BC2F2E"/>
    <w:rsid w:val="00BC310B"/>
    <w:rsid w:val="00BC4EE9"/>
    <w:rsid w:val="00BC5F7F"/>
    <w:rsid w:val="00BC67F1"/>
    <w:rsid w:val="00BC69B2"/>
    <w:rsid w:val="00BC7795"/>
    <w:rsid w:val="00BC7962"/>
    <w:rsid w:val="00BD05BE"/>
    <w:rsid w:val="00BD0DB9"/>
    <w:rsid w:val="00BD0F4A"/>
    <w:rsid w:val="00BD0FE1"/>
    <w:rsid w:val="00BD214B"/>
    <w:rsid w:val="00BD2B3A"/>
    <w:rsid w:val="00BD381D"/>
    <w:rsid w:val="00BD4126"/>
    <w:rsid w:val="00BD46CA"/>
    <w:rsid w:val="00BD5E14"/>
    <w:rsid w:val="00BD5F00"/>
    <w:rsid w:val="00BD62AF"/>
    <w:rsid w:val="00BD65F1"/>
    <w:rsid w:val="00BD73AE"/>
    <w:rsid w:val="00BD785C"/>
    <w:rsid w:val="00BE0574"/>
    <w:rsid w:val="00BE07C1"/>
    <w:rsid w:val="00BE13E1"/>
    <w:rsid w:val="00BE2C74"/>
    <w:rsid w:val="00BE2E30"/>
    <w:rsid w:val="00BE5010"/>
    <w:rsid w:val="00BE54B1"/>
    <w:rsid w:val="00BE5AAF"/>
    <w:rsid w:val="00BE5FEB"/>
    <w:rsid w:val="00BE63CF"/>
    <w:rsid w:val="00BE681F"/>
    <w:rsid w:val="00BE68C0"/>
    <w:rsid w:val="00BE6972"/>
    <w:rsid w:val="00BF13B9"/>
    <w:rsid w:val="00BF25BC"/>
    <w:rsid w:val="00BF32E6"/>
    <w:rsid w:val="00BF3699"/>
    <w:rsid w:val="00BF4A86"/>
    <w:rsid w:val="00BF5633"/>
    <w:rsid w:val="00BF5A49"/>
    <w:rsid w:val="00BF5C9F"/>
    <w:rsid w:val="00BF5D4E"/>
    <w:rsid w:val="00BF5EB7"/>
    <w:rsid w:val="00BF61C5"/>
    <w:rsid w:val="00BF65CE"/>
    <w:rsid w:val="00BF6D3D"/>
    <w:rsid w:val="00BF6F77"/>
    <w:rsid w:val="00C0139E"/>
    <w:rsid w:val="00C016D0"/>
    <w:rsid w:val="00C02B01"/>
    <w:rsid w:val="00C03BAE"/>
    <w:rsid w:val="00C03DF8"/>
    <w:rsid w:val="00C03EC9"/>
    <w:rsid w:val="00C0418D"/>
    <w:rsid w:val="00C0499B"/>
    <w:rsid w:val="00C06561"/>
    <w:rsid w:val="00C075EA"/>
    <w:rsid w:val="00C07A32"/>
    <w:rsid w:val="00C07F14"/>
    <w:rsid w:val="00C107ED"/>
    <w:rsid w:val="00C11615"/>
    <w:rsid w:val="00C12650"/>
    <w:rsid w:val="00C12E79"/>
    <w:rsid w:val="00C139CD"/>
    <w:rsid w:val="00C13C3E"/>
    <w:rsid w:val="00C141A6"/>
    <w:rsid w:val="00C14533"/>
    <w:rsid w:val="00C145BE"/>
    <w:rsid w:val="00C15098"/>
    <w:rsid w:val="00C15342"/>
    <w:rsid w:val="00C15D6D"/>
    <w:rsid w:val="00C15FC0"/>
    <w:rsid w:val="00C162B7"/>
    <w:rsid w:val="00C164E0"/>
    <w:rsid w:val="00C16599"/>
    <w:rsid w:val="00C179D9"/>
    <w:rsid w:val="00C20CF0"/>
    <w:rsid w:val="00C21C11"/>
    <w:rsid w:val="00C21E77"/>
    <w:rsid w:val="00C22757"/>
    <w:rsid w:val="00C23365"/>
    <w:rsid w:val="00C23699"/>
    <w:rsid w:val="00C242FA"/>
    <w:rsid w:val="00C252E9"/>
    <w:rsid w:val="00C258AA"/>
    <w:rsid w:val="00C26DC9"/>
    <w:rsid w:val="00C2721C"/>
    <w:rsid w:val="00C302A7"/>
    <w:rsid w:val="00C30FB7"/>
    <w:rsid w:val="00C317D8"/>
    <w:rsid w:val="00C32D53"/>
    <w:rsid w:val="00C32F31"/>
    <w:rsid w:val="00C33F01"/>
    <w:rsid w:val="00C3434C"/>
    <w:rsid w:val="00C35278"/>
    <w:rsid w:val="00C3530E"/>
    <w:rsid w:val="00C35D49"/>
    <w:rsid w:val="00C35E99"/>
    <w:rsid w:val="00C360A9"/>
    <w:rsid w:val="00C3621E"/>
    <w:rsid w:val="00C36C23"/>
    <w:rsid w:val="00C37D19"/>
    <w:rsid w:val="00C4090D"/>
    <w:rsid w:val="00C41189"/>
    <w:rsid w:val="00C4169D"/>
    <w:rsid w:val="00C419AB"/>
    <w:rsid w:val="00C41ACF"/>
    <w:rsid w:val="00C4208C"/>
    <w:rsid w:val="00C43BB4"/>
    <w:rsid w:val="00C4412D"/>
    <w:rsid w:val="00C4521B"/>
    <w:rsid w:val="00C45229"/>
    <w:rsid w:val="00C45906"/>
    <w:rsid w:val="00C466C6"/>
    <w:rsid w:val="00C468B4"/>
    <w:rsid w:val="00C473E1"/>
    <w:rsid w:val="00C47B03"/>
    <w:rsid w:val="00C47DA7"/>
    <w:rsid w:val="00C50493"/>
    <w:rsid w:val="00C50655"/>
    <w:rsid w:val="00C50F7D"/>
    <w:rsid w:val="00C519A6"/>
    <w:rsid w:val="00C51B8C"/>
    <w:rsid w:val="00C521BD"/>
    <w:rsid w:val="00C52FDD"/>
    <w:rsid w:val="00C53B5E"/>
    <w:rsid w:val="00C53D7D"/>
    <w:rsid w:val="00C54E11"/>
    <w:rsid w:val="00C55142"/>
    <w:rsid w:val="00C554AC"/>
    <w:rsid w:val="00C566F5"/>
    <w:rsid w:val="00C57B22"/>
    <w:rsid w:val="00C61066"/>
    <w:rsid w:val="00C611C8"/>
    <w:rsid w:val="00C6166A"/>
    <w:rsid w:val="00C6298B"/>
    <w:rsid w:val="00C62A6E"/>
    <w:rsid w:val="00C62C2F"/>
    <w:rsid w:val="00C62E3E"/>
    <w:rsid w:val="00C63E19"/>
    <w:rsid w:val="00C648F2"/>
    <w:rsid w:val="00C64CDB"/>
    <w:rsid w:val="00C654B8"/>
    <w:rsid w:val="00C65B40"/>
    <w:rsid w:val="00C66613"/>
    <w:rsid w:val="00C66E5B"/>
    <w:rsid w:val="00C673D0"/>
    <w:rsid w:val="00C67DA0"/>
    <w:rsid w:val="00C700CD"/>
    <w:rsid w:val="00C71D42"/>
    <w:rsid w:val="00C71DFF"/>
    <w:rsid w:val="00C71F8E"/>
    <w:rsid w:val="00C7212D"/>
    <w:rsid w:val="00C73F58"/>
    <w:rsid w:val="00C74A79"/>
    <w:rsid w:val="00C74BAA"/>
    <w:rsid w:val="00C75056"/>
    <w:rsid w:val="00C75321"/>
    <w:rsid w:val="00C75479"/>
    <w:rsid w:val="00C75912"/>
    <w:rsid w:val="00C75A6B"/>
    <w:rsid w:val="00C75D42"/>
    <w:rsid w:val="00C7686B"/>
    <w:rsid w:val="00C813DE"/>
    <w:rsid w:val="00C8258B"/>
    <w:rsid w:val="00C8331B"/>
    <w:rsid w:val="00C835B4"/>
    <w:rsid w:val="00C83B8F"/>
    <w:rsid w:val="00C841DD"/>
    <w:rsid w:val="00C8534E"/>
    <w:rsid w:val="00C858BF"/>
    <w:rsid w:val="00C87A3D"/>
    <w:rsid w:val="00C9041F"/>
    <w:rsid w:val="00C90AC5"/>
    <w:rsid w:val="00C90C03"/>
    <w:rsid w:val="00C90E90"/>
    <w:rsid w:val="00C912B2"/>
    <w:rsid w:val="00C92013"/>
    <w:rsid w:val="00C92B0C"/>
    <w:rsid w:val="00C93409"/>
    <w:rsid w:val="00C9470F"/>
    <w:rsid w:val="00C94928"/>
    <w:rsid w:val="00C94DB4"/>
    <w:rsid w:val="00C95408"/>
    <w:rsid w:val="00C959A5"/>
    <w:rsid w:val="00C965E1"/>
    <w:rsid w:val="00C97D35"/>
    <w:rsid w:val="00CA128E"/>
    <w:rsid w:val="00CA2390"/>
    <w:rsid w:val="00CA37D2"/>
    <w:rsid w:val="00CA453F"/>
    <w:rsid w:val="00CA55E2"/>
    <w:rsid w:val="00CA5D42"/>
    <w:rsid w:val="00CA6808"/>
    <w:rsid w:val="00CA7D96"/>
    <w:rsid w:val="00CB018D"/>
    <w:rsid w:val="00CB0403"/>
    <w:rsid w:val="00CB10A5"/>
    <w:rsid w:val="00CB12F1"/>
    <w:rsid w:val="00CB132E"/>
    <w:rsid w:val="00CB329C"/>
    <w:rsid w:val="00CB5865"/>
    <w:rsid w:val="00CB589A"/>
    <w:rsid w:val="00CB63C0"/>
    <w:rsid w:val="00CB6AC2"/>
    <w:rsid w:val="00CB70D0"/>
    <w:rsid w:val="00CB72C9"/>
    <w:rsid w:val="00CB7AAC"/>
    <w:rsid w:val="00CB7AD4"/>
    <w:rsid w:val="00CB7B33"/>
    <w:rsid w:val="00CC0077"/>
    <w:rsid w:val="00CC1857"/>
    <w:rsid w:val="00CC1DAA"/>
    <w:rsid w:val="00CC2144"/>
    <w:rsid w:val="00CC21E4"/>
    <w:rsid w:val="00CC325C"/>
    <w:rsid w:val="00CC34F7"/>
    <w:rsid w:val="00CC3E11"/>
    <w:rsid w:val="00CC3EBB"/>
    <w:rsid w:val="00CC58BC"/>
    <w:rsid w:val="00CC5FFA"/>
    <w:rsid w:val="00CC7856"/>
    <w:rsid w:val="00CD1D37"/>
    <w:rsid w:val="00CD24AD"/>
    <w:rsid w:val="00CD24DB"/>
    <w:rsid w:val="00CD4408"/>
    <w:rsid w:val="00CD4B1A"/>
    <w:rsid w:val="00CD4BFD"/>
    <w:rsid w:val="00CD5CB3"/>
    <w:rsid w:val="00CD60BC"/>
    <w:rsid w:val="00CD75E1"/>
    <w:rsid w:val="00CD7848"/>
    <w:rsid w:val="00CD78C0"/>
    <w:rsid w:val="00CE1AD3"/>
    <w:rsid w:val="00CE237F"/>
    <w:rsid w:val="00CE2626"/>
    <w:rsid w:val="00CE3B3D"/>
    <w:rsid w:val="00CE48C1"/>
    <w:rsid w:val="00CE49F8"/>
    <w:rsid w:val="00CE4F85"/>
    <w:rsid w:val="00CE53DB"/>
    <w:rsid w:val="00CE645E"/>
    <w:rsid w:val="00CE7715"/>
    <w:rsid w:val="00CE7A2C"/>
    <w:rsid w:val="00CF065F"/>
    <w:rsid w:val="00CF082A"/>
    <w:rsid w:val="00CF1979"/>
    <w:rsid w:val="00CF1998"/>
    <w:rsid w:val="00CF2FDC"/>
    <w:rsid w:val="00CF322A"/>
    <w:rsid w:val="00CF345D"/>
    <w:rsid w:val="00CF3668"/>
    <w:rsid w:val="00CF446C"/>
    <w:rsid w:val="00CF490F"/>
    <w:rsid w:val="00CF515F"/>
    <w:rsid w:val="00CF5E5A"/>
    <w:rsid w:val="00CF75D6"/>
    <w:rsid w:val="00CF7A6D"/>
    <w:rsid w:val="00D00C2D"/>
    <w:rsid w:val="00D01131"/>
    <w:rsid w:val="00D01CC1"/>
    <w:rsid w:val="00D0307C"/>
    <w:rsid w:val="00D04332"/>
    <w:rsid w:val="00D0607D"/>
    <w:rsid w:val="00D060E2"/>
    <w:rsid w:val="00D06291"/>
    <w:rsid w:val="00D065E3"/>
    <w:rsid w:val="00D06749"/>
    <w:rsid w:val="00D06851"/>
    <w:rsid w:val="00D06892"/>
    <w:rsid w:val="00D06F19"/>
    <w:rsid w:val="00D07001"/>
    <w:rsid w:val="00D0779E"/>
    <w:rsid w:val="00D111F9"/>
    <w:rsid w:val="00D12B0D"/>
    <w:rsid w:val="00D12C4B"/>
    <w:rsid w:val="00D1399C"/>
    <w:rsid w:val="00D140D9"/>
    <w:rsid w:val="00D16549"/>
    <w:rsid w:val="00D167ED"/>
    <w:rsid w:val="00D16D05"/>
    <w:rsid w:val="00D16E90"/>
    <w:rsid w:val="00D171F5"/>
    <w:rsid w:val="00D17324"/>
    <w:rsid w:val="00D17E0D"/>
    <w:rsid w:val="00D20498"/>
    <w:rsid w:val="00D209C3"/>
    <w:rsid w:val="00D20DD3"/>
    <w:rsid w:val="00D20F72"/>
    <w:rsid w:val="00D21ECE"/>
    <w:rsid w:val="00D22954"/>
    <w:rsid w:val="00D22E26"/>
    <w:rsid w:val="00D260A1"/>
    <w:rsid w:val="00D260AD"/>
    <w:rsid w:val="00D260AF"/>
    <w:rsid w:val="00D263D7"/>
    <w:rsid w:val="00D26727"/>
    <w:rsid w:val="00D26776"/>
    <w:rsid w:val="00D27398"/>
    <w:rsid w:val="00D27D60"/>
    <w:rsid w:val="00D30190"/>
    <w:rsid w:val="00D303C5"/>
    <w:rsid w:val="00D30550"/>
    <w:rsid w:val="00D323C5"/>
    <w:rsid w:val="00D32461"/>
    <w:rsid w:val="00D33459"/>
    <w:rsid w:val="00D34FB1"/>
    <w:rsid w:val="00D35211"/>
    <w:rsid w:val="00D35D6E"/>
    <w:rsid w:val="00D35F4C"/>
    <w:rsid w:val="00D36783"/>
    <w:rsid w:val="00D367FB"/>
    <w:rsid w:val="00D36C34"/>
    <w:rsid w:val="00D370AA"/>
    <w:rsid w:val="00D371A3"/>
    <w:rsid w:val="00D37230"/>
    <w:rsid w:val="00D40484"/>
    <w:rsid w:val="00D4067F"/>
    <w:rsid w:val="00D4068B"/>
    <w:rsid w:val="00D42CDB"/>
    <w:rsid w:val="00D43ACA"/>
    <w:rsid w:val="00D4520F"/>
    <w:rsid w:val="00D454CF"/>
    <w:rsid w:val="00D4579D"/>
    <w:rsid w:val="00D45EB4"/>
    <w:rsid w:val="00D46826"/>
    <w:rsid w:val="00D47253"/>
    <w:rsid w:val="00D47692"/>
    <w:rsid w:val="00D5054F"/>
    <w:rsid w:val="00D51FB3"/>
    <w:rsid w:val="00D525AA"/>
    <w:rsid w:val="00D528E5"/>
    <w:rsid w:val="00D5419A"/>
    <w:rsid w:val="00D54E82"/>
    <w:rsid w:val="00D551E5"/>
    <w:rsid w:val="00D55D66"/>
    <w:rsid w:val="00D566B5"/>
    <w:rsid w:val="00D568B2"/>
    <w:rsid w:val="00D56F39"/>
    <w:rsid w:val="00D57D3A"/>
    <w:rsid w:val="00D615B4"/>
    <w:rsid w:val="00D6230B"/>
    <w:rsid w:val="00D62A1E"/>
    <w:rsid w:val="00D630BE"/>
    <w:rsid w:val="00D633CC"/>
    <w:rsid w:val="00D636C2"/>
    <w:rsid w:val="00D63BA7"/>
    <w:rsid w:val="00D64494"/>
    <w:rsid w:val="00D652D2"/>
    <w:rsid w:val="00D658D1"/>
    <w:rsid w:val="00D66C24"/>
    <w:rsid w:val="00D674AF"/>
    <w:rsid w:val="00D679D7"/>
    <w:rsid w:val="00D67B4D"/>
    <w:rsid w:val="00D67C6B"/>
    <w:rsid w:val="00D67FDB"/>
    <w:rsid w:val="00D71510"/>
    <w:rsid w:val="00D72D9B"/>
    <w:rsid w:val="00D73B0E"/>
    <w:rsid w:val="00D73B4D"/>
    <w:rsid w:val="00D742D7"/>
    <w:rsid w:val="00D74342"/>
    <w:rsid w:val="00D77302"/>
    <w:rsid w:val="00D8006C"/>
    <w:rsid w:val="00D81B9D"/>
    <w:rsid w:val="00D8209E"/>
    <w:rsid w:val="00D830B1"/>
    <w:rsid w:val="00D83311"/>
    <w:rsid w:val="00D83D88"/>
    <w:rsid w:val="00D84F7E"/>
    <w:rsid w:val="00D85D8E"/>
    <w:rsid w:val="00D86A84"/>
    <w:rsid w:val="00D8703A"/>
    <w:rsid w:val="00D870B6"/>
    <w:rsid w:val="00D920CC"/>
    <w:rsid w:val="00D939CD"/>
    <w:rsid w:val="00D942AF"/>
    <w:rsid w:val="00D94822"/>
    <w:rsid w:val="00D94A7B"/>
    <w:rsid w:val="00D9514C"/>
    <w:rsid w:val="00D95B08"/>
    <w:rsid w:val="00D95F3A"/>
    <w:rsid w:val="00D96883"/>
    <w:rsid w:val="00D96F92"/>
    <w:rsid w:val="00D97632"/>
    <w:rsid w:val="00D977F8"/>
    <w:rsid w:val="00D97980"/>
    <w:rsid w:val="00D97A31"/>
    <w:rsid w:val="00DA0497"/>
    <w:rsid w:val="00DA05D2"/>
    <w:rsid w:val="00DA0650"/>
    <w:rsid w:val="00DA1329"/>
    <w:rsid w:val="00DA1BD6"/>
    <w:rsid w:val="00DA287B"/>
    <w:rsid w:val="00DA3C7C"/>
    <w:rsid w:val="00DA3CD7"/>
    <w:rsid w:val="00DA3DC9"/>
    <w:rsid w:val="00DA4811"/>
    <w:rsid w:val="00DA54AA"/>
    <w:rsid w:val="00DA7142"/>
    <w:rsid w:val="00DB0746"/>
    <w:rsid w:val="00DB16E6"/>
    <w:rsid w:val="00DB328B"/>
    <w:rsid w:val="00DB3622"/>
    <w:rsid w:val="00DB641C"/>
    <w:rsid w:val="00DB6AFD"/>
    <w:rsid w:val="00DC1254"/>
    <w:rsid w:val="00DC1336"/>
    <w:rsid w:val="00DC2067"/>
    <w:rsid w:val="00DC20BC"/>
    <w:rsid w:val="00DC3BAF"/>
    <w:rsid w:val="00DC6283"/>
    <w:rsid w:val="00DD01C8"/>
    <w:rsid w:val="00DD022D"/>
    <w:rsid w:val="00DD06B6"/>
    <w:rsid w:val="00DD081E"/>
    <w:rsid w:val="00DD207A"/>
    <w:rsid w:val="00DD285E"/>
    <w:rsid w:val="00DD3097"/>
    <w:rsid w:val="00DD43C9"/>
    <w:rsid w:val="00DD57D3"/>
    <w:rsid w:val="00DD5C67"/>
    <w:rsid w:val="00DD6C42"/>
    <w:rsid w:val="00DD7C1F"/>
    <w:rsid w:val="00DE09D5"/>
    <w:rsid w:val="00DE0FD1"/>
    <w:rsid w:val="00DE1277"/>
    <w:rsid w:val="00DE1658"/>
    <w:rsid w:val="00DE1736"/>
    <w:rsid w:val="00DE1816"/>
    <w:rsid w:val="00DE3083"/>
    <w:rsid w:val="00DE3228"/>
    <w:rsid w:val="00DE3800"/>
    <w:rsid w:val="00DE388F"/>
    <w:rsid w:val="00DE5213"/>
    <w:rsid w:val="00DE547A"/>
    <w:rsid w:val="00DE5AAB"/>
    <w:rsid w:val="00DE6376"/>
    <w:rsid w:val="00DE65D9"/>
    <w:rsid w:val="00DE6F7A"/>
    <w:rsid w:val="00DE7088"/>
    <w:rsid w:val="00DE737C"/>
    <w:rsid w:val="00DF17CE"/>
    <w:rsid w:val="00DF245A"/>
    <w:rsid w:val="00DF2DDB"/>
    <w:rsid w:val="00DF389B"/>
    <w:rsid w:val="00DF3FC1"/>
    <w:rsid w:val="00DF4360"/>
    <w:rsid w:val="00DF4D3A"/>
    <w:rsid w:val="00DF559C"/>
    <w:rsid w:val="00DF6806"/>
    <w:rsid w:val="00DF71AC"/>
    <w:rsid w:val="00DF73F6"/>
    <w:rsid w:val="00DF754C"/>
    <w:rsid w:val="00DF7785"/>
    <w:rsid w:val="00E00DE3"/>
    <w:rsid w:val="00E0125B"/>
    <w:rsid w:val="00E02D61"/>
    <w:rsid w:val="00E056BC"/>
    <w:rsid w:val="00E06FA1"/>
    <w:rsid w:val="00E07AC0"/>
    <w:rsid w:val="00E07AE8"/>
    <w:rsid w:val="00E07B60"/>
    <w:rsid w:val="00E103F8"/>
    <w:rsid w:val="00E10AFF"/>
    <w:rsid w:val="00E1142B"/>
    <w:rsid w:val="00E1214F"/>
    <w:rsid w:val="00E131CB"/>
    <w:rsid w:val="00E15AB3"/>
    <w:rsid w:val="00E15FDD"/>
    <w:rsid w:val="00E162A5"/>
    <w:rsid w:val="00E16D8C"/>
    <w:rsid w:val="00E17F63"/>
    <w:rsid w:val="00E2031F"/>
    <w:rsid w:val="00E20A43"/>
    <w:rsid w:val="00E2126B"/>
    <w:rsid w:val="00E21DE1"/>
    <w:rsid w:val="00E222F4"/>
    <w:rsid w:val="00E22808"/>
    <w:rsid w:val="00E22E66"/>
    <w:rsid w:val="00E2371D"/>
    <w:rsid w:val="00E24220"/>
    <w:rsid w:val="00E2454C"/>
    <w:rsid w:val="00E24663"/>
    <w:rsid w:val="00E262AB"/>
    <w:rsid w:val="00E26656"/>
    <w:rsid w:val="00E302E2"/>
    <w:rsid w:val="00E3031D"/>
    <w:rsid w:val="00E31793"/>
    <w:rsid w:val="00E31F74"/>
    <w:rsid w:val="00E32ACE"/>
    <w:rsid w:val="00E33272"/>
    <w:rsid w:val="00E333C8"/>
    <w:rsid w:val="00E33AAE"/>
    <w:rsid w:val="00E33ABB"/>
    <w:rsid w:val="00E33F1A"/>
    <w:rsid w:val="00E35249"/>
    <w:rsid w:val="00E35C18"/>
    <w:rsid w:val="00E36620"/>
    <w:rsid w:val="00E37158"/>
    <w:rsid w:val="00E37E9F"/>
    <w:rsid w:val="00E40C2D"/>
    <w:rsid w:val="00E41B8D"/>
    <w:rsid w:val="00E4243A"/>
    <w:rsid w:val="00E42F8D"/>
    <w:rsid w:val="00E43F4F"/>
    <w:rsid w:val="00E4534C"/>
    <w:rsid w:val="00E45B7C"/>
    <w:rsid w:val="00E464D1"/>
    <w:rsid w:val="00E4678C"/>
    <w:rsid w:val="00E46925"/>
    <w:rsid w:val="00E47624"/>
    <w:rsid w:val="00E479B9"/>
    <w:rsid w:val="00E47C24"/>
    <w:rsid w:val="00E50F88"/>
    <w:rsid w:val="00E5135D"/>
    <w:rsid w:val="00E516DE"/>
    <w:rsid w:val="00E5203E"/>
    <w:rsid w:val="00E54AA5"/>
    <w:rsid w:val="00E551B4"/>
    <w:rsid w:val="00E55B91"/>
    <w:rsid w:val="00E57525"/>
    <w:rsid w:val="00E60C39"/>
    <w:rsid w:val="00E6111D"/>
    <w:rsid w:val="00E6165A"/>
    <w:rsid w:val="00E61D76"/>
    <w:rsid w:val="00E63238"/>
    <w:rsid w:val="00E63A5D"/>
    <w:rsid w:val="00E64D52"/>
    <w:rsid w:val="00E64FBD"/>
    <w:rsid w:val="00E65EE9"/>
    <w:rsid w:val="00E65F38"/>
    <w:rsid w:val="00E6613B"/>
    <w:rsid w:val="00E67170"/>
    <w:rsid w:val="00E672CE"/>
    <w:rsid w:val="00E6745A"/>
    <w:rsid w:val="00E67570"/>
    <w:rsid w:val="00E678C8"/>
    <w:rsid w:val="00E67EDB"/>
    <w:rsid w:val="00E700E9"/>
    <w:rsid w:val="00E7022A"/>
    <w:rsid w:val="00E7036C"/>
    <w:rsid w:val="00E70C97"/>
    <w:rsid w:val="00E719D5"/>
    <w:rsid w:val="00E71A30"/>
    <w:rsid w:val="00E723C3"/>
    <w:rsid w:val="00E727C7"/>
    <w:rsid w:val="00E7295B"/>
    <w:rsid w:val="00E72D87"/>
    <w:rsid w:val="00E750D3"/>
    <w:rsid w:val="00E75242"/>
    <w:rsid w:val="00E765EF"/>
    <w:rsid w:val="00E7664A"/>
    <w:rsid w:val="00E77AFD"/>
    <w:rsid w:val="00E80367"/>
    <w:rsid w:val="00E808EC"/>
    <w:rsid w:val="00E8421C"/>
    <w:rsid w:val="00E8422F"/>
    <w:rsid w:val="00E85135"/>
    <w:rsid w:val="00E8596D"/>
    <w:rsid w:val="00E85C43"/>
    <w:rsid w:val="00E87642"/>
    <w:rsid w:val="00E9124B"/>
    <w:rsid w:val="00E91A73"/>
    <w:rsid w:val="00E959AE"/>
    <w:rsid w:val="00E97FD4"/>
    <w:rsid w:val="00EA246C"/>
    <w:rsid w:val="00EA3A32"/>
    <w:rsid w:val="00EA3E8F"/>
    <w:rsid w:val="00EA3F5F"/>
    <w:rsid w:val="00EA57A0"/>
    <w:rsid w:val="00EA707F"/>
    <w:rsid w:val="00EA7241"/>
    <w:rsid w:val="00EA78B0"/>
    <w:rsid w:val="00EB0266"/>
    <w:rsid w:val="00EB16A8"/>
    <w:rsid w:val="00EB29A8"/>
    <w:rsid w:val="00EB2B70"/>
    <w:rsid w:val="00EB312C"/>
    <w:rsid w:val="00EB5387"/>
    <w:rsid w:val="00EB5735"/>
    <w:rsid w:val="00EB577B"/>
    <w:rsid w:val="00EB6C25"/>
    <w:rsid w:val="00EB6F15"/>
    <w:rsid w:val="00EB7296"/>
    <w:rsid w:val="00EC0F10"/>
    <w:rsid w:val="00EC12E0"/>
    <w:rsid w:val="00EC12FA"/>
    <w:rsid w:val="00EC1738"/>
    <w:rsid w:val="00EC178F"/>
    <w:rsid w:val="00EC33C6"/>
    <w:rsid w:val="00EC3972"/>
    <w:rsid w:val="00EC42D0"/>
    <w:rsid w:val="00EC433F"/>
    <w:rsid w:val="00EC5DD3"/>
    <w:rsid w:val="00EC61DE"/>
    <w:rsid w:val="00EC797E"/>
    <w:rsid w:val="00ED1B79"/>
    <w:rsid w:val="00ED3CB9"/>
    <w:rsid w:val="00ED512E"/>
    <w:rsid w:val="00ED7AAD"/>
    <w:rsid w:val="00ED7EA4"/>
    <w:rsid w:val="00EE0B2B"/>
    <w:rsid w:val="00EE1298"/>
    <w:rsid w:val="00EE2388"/>
    <w:rsid w:val="00EE2D26"/>
    <w:rsid w:val="00EE3CEA"/>
    <w:rsid w:val="00EE4057"/>
    <w:rsid w:val="00EE5107"/>
    <w:rsid w:val="00EE533C"/>
    <w:rsid w:val="00EE54CD"/>
    <w:rsid w:val="00EE6E4E"/>
    <w:rsid w:val="00EE7553"/>
    <w:rsid w:val="00EF00D3"/>
    <w:rsid w:val="00EF0161"/>
    <w:rsid w:val="00EF0579"/>
    <w:rsid w:val="00EF0BD3"/>
    <w:rsid w:val="00EF13E5"/>
    <w:rsid w:val="00EF22ED"/>
    <w:rsid w:val="00EF2830"/>
    <w:rsid w:val="00EF3159"/>
    <w:rsid w:val="00EF3182"/>
    <w:rsid w:val="00EF31F4"/>
    <w:rsid w:val="00EF3C7D"/>
    <w:rsid w:val="00EF4F48"/>
    <w:rsid w:val="00EF606C"/>
    <w:rsid w:val="00EF6258"/>
    <w:rsid w:val="00EF6822"/>
    <w:rsid w:val="00EF763B"/>
    <w:rsid w:val="00EF7B87"/>
    <w:rsid w:val="00EF7D4E"/>
    <w:rsid w:val="00F00F15"/>
    <w:rsid w:val="00F01E05"/>
    <w:rsid w:val="00F01E11"/>
    <w:rsid w:val="00F031C2"/>
    <w:rsid w:val="00F03405"/>
    <w:rsid w:val="00F03F56"/>
    <w:rsid w:val="00F05369"/>
    <w:rsid w:val="00F05895"/>
    <w:rsid w:val="00F06102"/>
    <w:rsid w:val="00F0674F"/>
    <w:rsid w:val="00F06CBD"/>
    <w:rsid w:val="00F075BF"/>
    <w:rsid w:val="00F07BD8"/>
    <w:rsid w:val="00F10A31"/>
    <w:rsid w:val="00F10FF0"/>
    <w:rsid w:val="00F11B23"/>
    <w:rsid w:val="00F11F95"/>
    <w:rsid w:val="00F123AB"/>
    <w:rsid w:val="00F12FB0"/>
    <w:rsid w:val="00F13DF4"/>
    <w:rsid w:val="00F1550A"/>
    <w:rsid w:val="00F1636B"/>
    <w:rsid w:val="00F1740B"/>
    <w:rsid w:val="00F204B2"/>
    <w:rsid w:val="00F20935"/>
    <w:rsid w:val="00F20944"/>
    <w:rsid w:val="00F21526"/>
    <w:rsid w:val="00F22180"/>
    <w:rsid w:val="00F231CC"/>
    <w:rsid w:val="00F23607"/>
    <w:rsid w:val="00F23696"/>
    <w:rsid w:val="00F23746"/>
    <w:rsid w:val="00F2406E"/>
    <w:rsid w:val="00F24725"/>
    <w:rsid w:val="00F249AE"/>
    <w:rsid w:val="00F24A2E"/>
    <w:rsid w:val="00F2503C"/>
    <w:rsid w:val="00F265B1"/>
    <w:rsid w:val="00F27F5E"/>
    <w:rsid w:val="00F27F7F"/>
    <w:rsid w:val="00F303D3"/>
    <w:rsid w:val="00F30EC7"/>
    <w:rsid w:val="00F31796"/>
    <w:rsid w:val="00F31B8B"/>
    <w:rsid w:val="00F323F7"/>
    <w:rsid w:val="00F354D1"/>
    <w:rsid w:val="00F36437"/>
    <w:rsid w:val="00F400C8"/>
    <w:rsid w:val="00F403B1"/>
    <w:rsid w:val="00F42B22"/>
    <w:rsid w:val="00F444A3"/>
    <w:rsid w:val="00F46155"/>
    <w:rsid w:val="00F461D1"/>
    <w:rsid w:val="00F468F4"/>
    <w:rsid w:val="00F505B3"/>
    <w:rsid w:val="00F52F8E"/>
    <w:rsid w:val="00F53524"/>
    <w:rsid w:val="00F53F4D"/>
    <w:rsid w:val="00F54340"/>
    <w:rsid w:val="00F54904"/>
    <w:rsid w:val="00F552B7"/>
    <w:rsid w:val="00F55FFB"/>
    <w:rsid w:val="00F60D20"/>
    <w:rsid w:val="00F61D56"/>
    <w:rsid w:val="00F63870"/>
    <w:rsid w:val="00F63C52"/>
    <w:rsid w:val="00F63EE3"/>
    <w:rsid w:val="00F64ADA"/>
    <w:rsid w:val="00F64D84"/>
    <w:rsid w:val="00F65660"/>
    <w:rsid w:val="00F65EB0"/>
    <w:rsid w:val="00F65FCA"/>
    <w:rsid w:val="00F6682C"/>
    <w:rsid w:val="00F66E94"/>
    <w:rsid w:val="00F72458"/>
    <w:rsid w:val="00F7303E"/>
    <w:rsid w:val="00F73651"/>
    <w:rsid w:val="00F754D3"/>
    <w:rsid w:val="00F770D6"/>
    <w:rsid w:val="00F77413"/>
    <w:rsid w:val="00F77B60"/>
    <w:rsid w:val="00F77EE4"/>
    <w:rsid w:val="00F808D9"/>
    <w:rsid w:val="00F8203C"/>
    <w:rsid w:val="00F82AC2"/>
    <w:rsid w:val="00F8350E"/>
    <w:rsid w:val="00F8377B"/>
    <w:rsid w:val="00F850FA"/>
    <w:rsid w:val="00F85120"/>
    <w:rsid w:val="00F85B72"/>
    <w:rsid w:val="00F900CD"/>
    <w:rsid w:val="00F902B6"/>
    <w:rsid w:val="00F90718"/>
    <w:rsid w:val="00F90D7D"/>
    <w:rsid w:val="00F9123C"/>
    <w:rsid w:val="00F91ABA"/>
    <w:rsid w:val="00F91DAB"/>
    <w:rsid w:val="00F928DE"/>
    <w:rsid w:val="00F940E2"/>
    <w:rsid w:val="00F9500F"/>
    <w:rsid w:val="00F95761"/>
    <w:rsid w:val="00F9582B"/>
    <w:rsid w:val="00F95894"/>
    <w:rsid w:val="00F96B4B"/>
    <w:rsid w:val="00F97CC2"/>
    <w:rsid w:val="00F97F7A"/>
    <w:rsid w:val="00F97FC9"/>
    <w:rsid w:val="00FA09B9"/>
    <w:rsid w:val="00FA0D2D"/>
    <w:rsid w:val="00FA14A7"/>
    <w:rsid w:val="00FA21CA"/>
    <w:rsid w:val="00FA2642"/>
    <w:rsid w:val="00FA3345"/>
    <w:rsid w:val="00FA3F7C"/>
    <w:rsid w:val="00FA4A34"/>
    <w:rsid w:val="00FA5847"/>
    <w:rsid w:val="00FA6B7C"/>
    <w:rsid w:val="00FA6BB5"/>
    <w:rsid w:val="00FA6E9E"/>
    <w:rsid w:val="00FA7C46"/>
    <w:rsid w:val="00FB03E5"/>
    <w:rsid w:val="00FB1F2D"/>
    <w:rsid w:val="00FB27B4"/>
    <w:rsid w:val="00FB2B7C"/>
    <w:rsid w:val="00FB3390"/>
    <w:rsid w:val="00FB4507"/>
    <w:rsid w:val="00FB4C61"/>
    <w:rsid w:val="00FB53B7"/>
    <w:rsid w:val="00FB5DB8"/>
    <w:rsid w:val="00FB63F6"/>
    <w:rsid w:val="00FB6507"/>
    <w:rsid w:val="00FB6DBE"/>
    <w:rsid w:val="00FB76BD"/>
    <w:rsid w:val="00FC22E0"/>
    <w:rsid w:val="00FC3397"/>
    <w:rsid w:val="00FC661A"/>
    <w:rsid w:val="00FC76CF"/>
    <w:rsid w:val="00FC7FCB"/>
    <w:rsid w:val="00FC7FF8"/>
    <w:rsid w:val="00FD0A2E"/>
    <w:rsid w:val="00FD13DC"/>
    <w:rsid w:val="00FD19A4"/>
    <w:rsid w:val="00FD291E"/>
    <w:rsid w:val="00FD36F1"/>
    <w:rsid w:val="00FD38B0"/>
    <w:rsid w:val="00FD44EA"/>
    <w:rsid w:val="00FD47A6"/>
    <w:rsid w:val="00FD5717"/>
    <w:rsid w:val="00FD5F9A"/>
    <w:rsid w:val="00FD70D0"/>
    <w:rsid w:val="00FE02AF"/>
    <w:rsid w:val="00FE043B"/>
    <w:rsid w:val="00FE099A"/>
    <w:rsid w:val="00FE15C4"/>
    <w:rsid w:val="00FE45FC"/>
    <w:rsid w:val="00FE533F"/>
    <w:rsid w:val="00FE5463"/>
    <w:rsid w:val="00FE557B"/>
    <w:rsid w:val="00FE5628"/>
    <w:rsid w:val="00FE5E31"/>
    <w:rsid w:val="00FE64B3"/>
    <w:rsid w:val="00FE65A6"/>
    <w:rsid w:val="00FE6F7C"/>
    <w:rsid w:val="00FE73BB"/>
    <w:rsid w:val="00FE7A18"/>
    <w:rsid w:val="00FF0924"/>
    <w:rsid w:val="00FF0B75"/>
    <w:rsid w:val="00FF1E41"/>
    <w:rsid w:val="00FF20BA"/>
    <w:rsid w:val="00FF2F2A"/>
    <w:rsid w:val="00FF3225"/>
    <w:rsid w:val="00FF330A"/>
    <w:rsid w:val="00FF3369"/>
    <w:rsid w:val="00FF4B45"/>
    <w:rsid w:val="00FF543A"/>
    <w:rsid w:val="00FF5514"/>
    <w:rsid w:val="00FF67B5"/>
    <w:rsid w:val="0103628E"/>
    <w:rsid w:val="01390C0F"/>
    <w:rsid w:val="013A0EF8"/>
    <w:rsid w:val="02061D99"/>
    <w:rsid w:val="02260039"/>
    <w:rsid w:val="0241046B"/>
    <w:rsid w:val="02474B53"/>
    <w:rsid w:val="026834B9"/>
    <w:rsid w:val="02866878"/>
    <w:rsid w:val="02893508"/>
    <w:rsid w:val="02920231"/>
    <w:rsid w:val="02FB66D8"/>
    <w:rsid w:val="030F65A1"/>
    <w:rsid w:val="03C2358E"/>
    <w:rsid w:val="03E21671"/>
    <w:rsid w:val="043913F9"/>
    <w:rsid w:val="047F241C"/>
    <w:rsid w:val="049865D2"/>
    <w:rsid w:val="04C85AF5"/>
    <w:rsid w:val="04EA3781"/>
    <w:rsid w:val="063867FB"/>
    <w:rsid w:val="071F4FF6"/>
    <w:rsid w:val="07A05545"/>
    <w:rsid w:val="07C37DAE"/>
    <w:rsid w:val="080F2BDC"/>
    <w:rsid w:val="08680140"/>
    <w:rsid w:val="08AA79A9"/>
    <w:rsid w:val="09014536"/>
    <w:rsid w:val="09221059"/>
    <w:rsid w:val="092A0CF7"/>
    <w:rsid w:val="097A3FBE"/>
    <w:rsid w:val="09A7579B"/>
    <w:rsid w:val="09E20C20"/>
    <w:rsid w:val="0A926741"/>
    <w:rsid w:val="0AD83457"/>
    <w:rsid w:val="0AE24CF8"/>
    <w:rsid w:val="0B3E3140"/>
    <w:rsid w:val="0B631313"/>
    <w:rsid w:val="0C424391"/>
    <w:rsid w:val="0CA92A20"/>
    <w:rsid w:val="0CDC5F94"/>
    <w:rsid w:val="0CE21BD9"/>
    <w:rsid w:val="0D113824"/>
    <w:rsid w:val="0D12139B"/>
    <w:rsid w:val="0D2834A2"/>
    <w:rsid w:val="0D4A187D"/>
    <w:rsid w:val="0D8F680C"/>
    <w:rsid w:val="0D90372D"/>
    <w:rsid w:val="0E6E5B02"/>
    <w:rsid w:val="0EA068EC"/>
    <w:rsid w:val="0ED750C5"/>
    <w:rsid w:val="0EEC404B"/>
    <w:rsid w:val="0F04575A"/>
    <w:rsid w:val="0F746CD6"/>
    <w:rsid w:val="0F824779"/>
    <w:rsid w:val="10B857E9"/>
    <w:rsid w:val="11D67472"/>
    <w:rsid w:val="11F07675"/>
    <w:rsid w:val="125F15E3"/>
    <w:rsid w:val="1293277E"/>
    <w:rsid w:val="129B7C33"/>
    <w:rsid w:val="12C92AB7"/>
    <w:rsid w:val="12E3156A"/>
    <w:rsid w:val="135A1CE3"/>
    <w:rsid w:val="13977F2D"/>
    <w:rsid w:val="13C04A20"/>
    <w:rsid w:val="145440C6"/>
    <w:rsid w:val="14864AF7"/>
    <w:rsid w:val="14A95C93"/>
    <w:rsid w:val="14E15414"/>
    <w:rsid w:val="14E5178B"/>
    <w:rsid w:val="155A54F2"/>
    <w:rsid w:val="15D401D2"/>
    <w:rsid w:val="15D878E1"/>
    <w:rsid w:val="16BA1CE5"/>
    <w:rsid w:val="16CC39DB"/>
    <w:rsid w:val="16E97555"/>
    <w:rsid w:val="16F6422B"/>
    <w:rsid w:val="173F41E6"/>
    <w:rsid w:val="17A47FED"/>
    <w:rsid w:val="17C807F8"/>
    <w:rsid w:val="17E24489"/>
    <w:rsid w:val="184810E4"/>
    <w:rsid w:val="1859346E"/>
    <w:rsid w:val="18BB7249"/>
    <w:rsid w:val="18E06267"/>
    <w:rsid w:val="19062E72"/>
    <w:rsid w:val="19110053"/>
    <w:rsid w:val="19142086"/>
    <w:rsid w:val="194A0455"/>
    <w:rsid w:val="19602B28"/>
    <w:rsid w:val="19D30F80"/>
    <w:rsid w:val="1A303D6A"/>
    <w:rsid w:val="1AA7035E"/>
    <w:rsid w:val="1AB079CF"/>
    <w:rsid w:val="1B776ECB"/>
    <w:rsid w:val="1B7B32E2"/>
    <w:rsid w:val="1BB8065A"/>
    <w:rsid w:val="1BFD28B1"/>
    <w:rsid w:val="1C353D5B"/>
    <w:rsid w:val="1C4A1F42"/>
    <w:rsid w:val="1C7E49AF"/>
    <w:rsid w:val="1C89550A"/>
    <w:rsid w:val="1CB933CA"/>
    <w:rsid w:val="1CC04936"/>
    <w:rsid w:val="1D205C25"/>
    <w:rsid w:val="1D7320F5"/>
    <w:rsid w:val="1DAF00C4"/>
    <w:rsid w:val="1DD67C8A"/>
    <w:rsid w:val="1E7C4485"/>
    <w:rsid w:val="1EA068CF"/>
    <w:rsid w:val="1F1F59DC"/>
    <w:rsid w:val="1F5C50A0"/>
    <w:rsid w:val="1F5D0675"/>
    <w:rsid w:val="1F685F13"/>
    <w:rsid w:val="2002140F"/>
    <w:rsid w:val="20430653"/>
    <w:rsid w:val="20AA3DDF"/>
    <w:rsid w:val="216F57FC"/>
    <w:rsid w:val="21A176A8"/>
    <w:rsid w:val="223E7A1D"/>
    <w:rsid w:val="22487CFC"/>
    <w:rsid w:val="2285009A"/>
    <w:rsid w:val="22F06736"/>
    <w:rsid w:val="2316574E"/>
    <w:rsid w:val="23176944"/>
    <w:rsid w:val="238943C9"/>
    <w:rsid w:val="23B42F53"/>
    <w:rsid w:val="23D33EBB"/>
    <w:rsid w:val="23EC1C2F"/>
    <w:rsid w:val="242E5669"/>
    <w:rsid w:val="248F6512"/>
    <w:rsid w:val="24D209EA"/>
    <w:rsid w:val="24E7412B"/>
    <w:rsid w:val="24F42761"/>
    <w:rsid w:val="25396C59"/>
    <w:rsid w:val="255D11E5"/>
    <w:rsid w:val="25636CB1"/>
    <w:rsid w:val="258C6CB9"/>
    <w:rsid w:val="259A5B45"/>
    <w:rsid w:val="25D333B2"/>
    <w:rsid w:val="25E43DC4"/>
    <w:rsid w:val="2613379B"/>
    <w:rsid w:val="26287099"/>
    <w:rsid w:val="26641400"/>
    <w:rsid w:val="26A73F40"/>
    <w:rsid w:val="26DD7DD5"/>
    <w:rsid w:val="27661E22"/>
    <w:rsid w:val="27697FB8"/>
    <w:rsid w:val="27803C77"/>
    <w:rsid w:val="27D06F5D"/>
    <w:rsid w:val="27D87D53"/>
    <w:rsid w:val="2853522C"/>
    <w:rsid w:val="286E1572"/>
    <w:rsid w:val="28772C41"/>
    <w:rsid w:val="287E7B7F"/>
    <w:rsid w:val="28DD660D"/>
    <w:rsid w:val="28FF16EC"/>
    <w:rsid w:val="293624A4"/>
    <w:rsid w:val="2939462D"/>
    <w:rsid w:val="29A152CF"/>
    <w:rsid w:val="2A0A279A"/>
    <w:rsid w:val="2A261FAC"/>
    <w:rsid w:val="2AE33069"/>
    <w:rsid w:val="2B762FBB"/>
    <w:rsid w:val="2B9A29C2"/>
    <w:rsid w:val="2C4E43B9"/>
    <w:rsid w:val="2D4C0813"/>
    <w:rsid w:val="2DBD653F"/>
    <w:rsid w:val="2E2745BD"/>
    <w:rsid w:val="2EBA1A8D"/>
    <w:rsid w:val="2ED11401"/>
    <w:rsid w:val="2F843712"/>
    <w:rsid w:val="30707C57"/>
    <w:rsid w:val="309D6C59"/>
    <w:rsid w:val="30B66936"/>
    <w:rsid w:val="30BD6E1B"/>
    <w:rsid w:val="310B3AC7"/>
    <w:rsid w:val="311E66C3"/>
    <w:rsid w:val="318C3BE6"/>
    <w:rsid w:val="31B82714"/>
    <w:rsid w:val="31EB4D0E"/>
    <w:rsid w:val="32113F88"/>
    <w:rsid w:val="32237667"/>
    <w:rsid w:val="32485133"/>
    <w:rsid w:val="32A679A0"/>
    <w:rsid w:val="32C22D8A"/>
    <w:rsid w:val="331331E4"/>
    <w:rsid w:val="333764ED"/>
    <w:rsid w:val="33923880"/>
    <w:rsid w:val="33B271CC"/>
    <w:rsid w:val="33BE3732"/>
    <w:rsid w:val="33DC2B0B"/>
    <w:rsid w:val="33E01413"/>
    <w:rsid w:val="34380E98"/>
    <w:rsid w:val="34833079"/>
    <w:rsid w:val="34865823"/>
    <w:rsid w:val="34C367DD"/>
    <w:rsid w:val="34D851AA"/>
    <w:rsid w:val="34F40C84"/>
    <w:rsid w:val="350403A0"/>
    <w:rsid w:val="352454CB"/>
    <w:rsid w:val="35400BAD"/>
    <w:rsid w:val="35A74680"/>
    <w:rsid w:val="364F5FE5"/>
    <w:rsid w:val="367E7C80"/>
    <w:rsid w:val="36AD11E5"/>
    <w:rsid w:val="36E22EFC"/>
    <w:rsid w:val="36E833A3"/>
    <w:rsid w:val="370D4FD5"/>
    <w:rsid w:val="37587679"/>
    <w:rsid w:val="375F017B"/>
    <w:rsid w:val="37752CDD"/>
    <w:rsid w:val="378B43CA"/>
    <w:rsid w:val="37A26541"/>
    <w:rsid w:val="37AD4B04"/>
    <w:rsid w:val="37AE4261"/>
    <w:rsid w:val="38242847"/>
    <w:rsid w:val="38674AF8"/>
    <w:rsid w:val="38924944"/>
    <w:rsid w:val="38A31E8B"/>
    <w:rsid w:val="38CB1EF3"/>
    <w:rsid w:val="38D7105D"/>
    <w:rsid w:val="390849BC"/>
    <w:rsid w:val="393A38C1"/>
    <w:rsid w:val="39A110B3"/>
    <w:rsid w:val="39A30104"/>
    <w:rsid w:val="39B4183B"/>
    <w:rsid w:val="39E61C9A"/>
    <w:rsid w:val="39E9225B"/>
    <w:rsid w:val="3A12362C"/>
    <w:rsid w:val="3A1C43FA"/>
    <w:rsid w:val="3AC07DFA"/>
    <w:rsid w:val="3AF34E2F"/>
    <w:rsid w:val="3AF84A65"/>
    <w:rsid w:val="3B690661"/>
    <w:rsid w:val="3B7509E8"/>
    <w:rsid w:val="3B8A1DF8"/>
    <w:rsid w:val="3BF967F5"/>
    <w:rsid w:val="3C1B1B51"/>
    <w:rsid w:val="3D3D4CF0"/>
    <w:rsid w:val="3D404387"/>
    <w:rsid w:val="3D575A0F"/>
    <w:rsid w:val="3DC07318"/>
    <w:rsid w:val="3E3D4694"/>
    <w:rsid w:val="3E6F4F21"/>
    <w:rsid w:val="3E8B4276"/>
    <w:rsid w:val="3EA70C43"/>
    <w:rsid w:val="3EC82AA0"/>
    <w:rsid w:val="3F426E37"/>
    <w:rsid w:val="3F810C1B"/>
    <w:rsid w:val="3F943A53"/>
    <w:rsid w:val="3FB25190"/>
    <w:rsid w:val="3FD52B42"/>
    <w:rsid w:val="3FFC35DD"/>
    <w:rsid w:val="403033E1"/>
    <w:rsid w:val="4032239F"/>
    <w:rsid w:val="404A5D19"/>
    <w:rsid w:val="405212F4"/>
    <w:rsid w:val="40A62DA7"/>
    <w:rsid w:val="40DA6B45"/>
    <w:rsid w:val="40F7216B"/>
    <w:rsid w:val="410909AB"/>
    <w:rsid w:val="413161D8"/>
    <w:rsid w:val="41333958"/>
    <w:rsid w:val="417E25AF"/>
    <w:rsid w:val="41926C06"/>
    <w:rsid w:val="41F7633A"/>
    <w:rsid w:val="41FB325F"/>
    <w:rsid w:val="421431A7"/>
    <w:rsid w:val="42980E7D"/>
    <w:rsid w:val="4319581B"/>
    <w:rsid w:val="437A56CD"/>
    <w:rsid w:val="438E1885"/>
    <w:rsid w:val="43AC6144"/>
    <w:rsid w:val="43B3226F"/>
    <w:rsid w:val="448F5033"/>
    <w:rsid w:val="44CA3A44"/>
    <w:rsid w:val="450E29DB"/>
    <w:rsid w:val="454B4935"/>
    <w:rsid w:val="45A952B1"/>
    <w:rsid w:val="45C004AA"/>
    <w:rsid w:val="46335EAE"/>
    <w:rsid w:val="46685445"/>
    <w:rsid w:val="4674276B"/>
    <w:rsid w:val="46937174"/>
    <w:rsid w:val="46DC1957"/>
    <w:rsid w:val="47792F37"/>
    <w:rsid w:val="47AB25B4"/>
    <w:rsid w:val="47C06915"/>
    <w:rsid w:val="483571DE"/>
    <w:rsid w:val="4841191E"/>
    <w:rsid w:val="48911D52"/>
    <w:rsid w:val="4956467F"/>
    <w:rsid w:val="49C237B3"/>
    <w:rsid w:val="4A0F2B0F"/>
    <w:rsid w:val="4A2A4C14"/>
    <w:rsid w:val="4A482090"/>
    <w:rsid w:val="4A65109D"/>
    <w:rsid w:val="4A7B7D2D"/>
    <w:rsid w:val="4AD45D2B"/>
    <w:rsid w:val="4AE36533"/>
    <w:rsid w:val="4B703042"/>
    <w:rsid w:val="4B7A5280"/>
    <w:rsid w:val="4BB60B27"/>
    <w:rsid w:val="4BE64943"/>
    <w:rsid w:val="4C063228"/>
    <w:rsid w:val="4C8D31DC"/>
    <w:rsid w:val="4CB72CCD"/>
    <w:rsid w:val="4CBC7E2E"/>
    <w:rsid w:val="4CD1135F"/>
    <w:rsid w:val="4CDC5C5E"/>
    <w:rsid w:val="4D352A8A"/>
    <w:rsid w:val="4D5A2FA0"/>
    <w:rsid w:val="4D813F76"/>
    <w:rsid w:val="4DAE4542"/>
    <w:rsid w:val="4E1B479E"/>
    <w:rsid w:val="4E3B6891"/>
    <w:rsid w:val="4E677FBB"/>
    <w:rsid w:val="4E686AA3"/>
    <w:rsid w:val="4ECD62B3"/>
    <w:rsid w:val="4ECF5E64"/>
    <w:rsid w:val="4F00238E"/>
    <w:rsid w:val="4F142EF7"/>
    <w:rsid w:val="4F150636"/>
    <w:rsid w:val="4F597342"/>
    <w:rsid w:val="4F5F75FB"/>
    <w:rsid w:val="4F8452C4"/>
    <w:rsid w:val="4F8B72B2"/>
    <w:rsid w:val="4FB344EC"/>
    <w:rsid w:val="4FB81CBF"/>
    <w:rsid w:val="50382287"/>
    <w:rsid w:val="50570B5C"/>
    <w:rsid w:val="506C477B"/>
    <w:rsid w:val="509911A7"/>
    <w:rsid w:val="50B7420B"/>
    <w:rsid w:val="514403DE"/>
    <w:rsid w:val="516C104C"/>
    <w:rsid w:val="51A52208"/>
    <w:rsid w:val="52021336"/>
    <w:rsid w:val="52A40100"/>
    <w:rsid w:val="53357E81"/>
    <w:rsid w:val="53512E56"/>
    <w:rsid w:val="53F33948"/>
    <w:rsid w:val="545932CC"/>
    <w:rsid w:val="54822DFB"/>
    <w:rsid w:val="54E67D94"/>
    <w:rsid w:val="54F3692C"/>
    <w:rsid w:val="55527C0E"/>
    <w:rsid w:val="55D27017"/>
    <w:rsid w:val="55E041A1"/>
    <w:rsid w:val="561F134A"/>
    <w:rsid w:val="56493C1C"/>
    <w:rsid w:val="5685619A"/>
    <w:rsid w:val="5696246D"/>
    <w:rsid w:val="569814AE"/>
    <w:rsid w:val="56E222CA"/>
    <w:rsid w:val="57015866"/>
    <w:rsid w:val="57052086"/>
    <w:rsid w:val="57422F10"/>
    <w:rsid w:val="578F6B4F"/>
    <w:rsid w:val="58393F65"/>
    <w:rsid w:val="58401C05"/>
    <w:rsid w:val="58550166"/>
    <w:rsid w:val="588A1108"/>
    <w:rsid w:val="59980266"/>
    <w:rsid w:val="5A0E4446"/>
    <w:rsid w:val="5A3A72AA"/>
    <w:rsid w:val="5A5E0191"/>
    <w:rsid w:val="5AFA561F"/>
    <w:rsid w:val="5B9B0EEC"/>
    <w:rsid w:val="5BC00749"/>
    <w:rsid w:val="5BE46FC9"/>
    <w:rsid w:val="5BEE7DA5"/>
    <w:rsid w:val="5BFA647E"/>
    <w:rsid w:val="5C316EF9"/>
    <w:rsid w:val="5C876E5A"/>
    <w:rsid w:val="5C8971EA"/>
    <w:rsid w:val="5CA81F06"/>
    <w:rsid w:val="5CA9719F"/>
    <w:rsid w:val="5D8C3E6D"/>
    <w:rsid w:val="5D9871A5"/>
    <w:rsid w:val="5DAF5717"/>
    <w:rsid w:val="5DBC7478"/>
    <w:rsid w:val="5DFC7F9B"/>
    <w:rsid w:val="5E232B90"/>
    <w:rsid w:val="5EA215AA"/>
    <w:rsid w:val="5EBE4071"/>
    <w:rsid w:val="5EFA1521"/>
    <w:rsid w:val="5EFB775A"/>
    <w:rsid w:val="5F3A551D"/>
    <w:rsid w:val="5FB85C1B"/>
    <w:rsid w:val="60425452"/>
    <w:rsid w:val="60476E0C"/>
    <w:rsid w:val="60496CBB"/>
    <w:rsid w:val="6051652F"/>
    <w:rsid w:val="60AB1FAC"/>
    <w:rsid w:val="60AD4ABC"/>
    <w:rsid w:val="60C807D1"/>
    <w:rsid w:val="60ED7B96"/>
    <w:rsid w:val="61082885"/>
    <w:rsid w:val="610C2F81"/>
    <w:rsid w:val="61190DBE"/>
    <w:rsid w:val="61CB6DC6"/>
    <w:rsid w:val="61F54DDC"/>
    <w:rsid w:val="629A2CED"/>
    <w:rsid w:val="62CA76C4"/>
    <w:rsid w:val="62F14B9A"/>
    <w:rsid w:val="62F82F7B"/>
    <w:rsid w:val="6398676A"/>
    <w:rsid w:val="639F5B32"/>
    <w:rsid w:val="63B629C0"/>
    <w:rsid w:val="63D80E4F"/>
    <w:rsid w:val="63EF0B0C"/>
    <w:rsid w:val="645776D2"/>
    <w:rsid w:val="647F02FD"/>
    <w:rsid w:val="64A16611"/>
    <w:rsid w:val="64D45F26"/>
    <w:rsid w:val="64E564CC"/>
    <w:rsid w:val="64EC0328"/>
    <w:rsid w:val="64FF2040"/>
    <w:rsid w:val="65577450"/>
    <w:rsid w:val="656C4940"/>
    <w:rsid w:val="65C9670E"/>
    <w:rsid w:val="66C0517A"/>
    <w:rsid w:val="66F77C1E"/>
    <w:rsid w:val="67033D75"/>
    <w:rsid w:val="67435186"/>
    <w:rsid w:val="680F142A"/>
    <w:rsid w:val="68153075"/>
    <w:rsid w:val="681772C7"/>
    <w:rsid w:val="689A787E"/>
    <w:rsid w:val="69727C15"/>
    <w:rsid w:val="6977068A"/>
    <w:rsid w:val="69A33B04"/>
    <w:rsid w:val="69BA631C"/>
    <w:rsid w:val="69D1723D"/>
    <w:rsid w:val="69D375EF"/>
    <w:rsid w:val="69E2314E"/>
    <w:rsid w:val="69FC5EE2"/>
    <w:rsid w:val="6A0419FC"/>
    <w:rsid w:val="6B6D77BE"/>
    <w:rsid w:val="6B7F188C"/>
    <w:rsid w:val="6B823FD4"/>
    <w:rsid w:val="6B9D64AE"/>
    <w:rsid w:val="6BAB41A9"/>
    <w:rsid w:val="6BE83AF2"/>
    <w:rsid w:val="6BFD2316"/>
    <w:rsid w:val="6C137415"/>
    <w:rsid w:val="6C6E1C00"/>
    <w:rsid w:val="6CBB551F"/>
    <w:rsid w:val="6CED1F06"/>
    <w:rsid w:val="6D187686"/>
    <w:rsid w:val="6D4D35A3"/>
    <w:rsid w:val="6D527862"/>
    <w:rsid w:val="6D662765"/>
    <w:rsid w:val="6DF21AD0"/>
    <w:rsid w:val="6E0C62E9"/>
    <w:rsid w:val="6E286E89"/>
    <w:rsid w:val="6E4C644A"/>
    <w:rsid w:val="6E9D7618"/>
    <w:rsid w:val="6EA35166"/>
    <w:rsid w:val="6EB01681"/>
    <w:rsid w:val="6ECC3371"/>
    <w:rsid w:val="6EE02ACA"/>
    <w:rsid w:val="6F305351"/>
    <w:rsid w:val="6F6578C1"/>
    <w:rsid w:val="6FB67758"/>
    <w:rsid w:val="70001B1E"/>
    <w:rsid w:val="701D410D"/>
    <w:rsid w:val="705E5819"/>
    <w:rsid w:val="70AB497D"/>
    <w:rsid w:val="70B15306"/>
    <w:rsid w:val="70DD024F"/>
    <w:rsid w:val="71760F8B"/>
    <w:rsid w:val="722E0E7A"/>
    <w:rsid w:val="7303126A"/>
    <w:rsid w:val="730643AF"/>
    <w:rsid w:val="73377398"/>
    <w:rsid w:val="73402CBF"/>
    <w:rsid w:val="734126C4"/>
    <w:rsid w:val="73FB33FB"/>
    <w:rsid w:val="742F31F5"/>
    <w:rsid w:val="745C675E"/>
    <w:rsid w:val="7498519D"/>
    <w:rsid w:val="74AD16B2"/>
    <w:rsid w:val="74B16BB7"/>
    <w:rsid w:val="74CB1441"/>
    <w:rsid w:val="75101081"/>
    <w:rsid w:val="757953DA"/>
    <w:rsid w:val="75995D89"/>
    <w:rsid w:val="75A60436"/>
    <w:rsid w:val="76114EF6"/>
    <w:rsid w:val="763774C8"/>
    <w:rsid w:val="766F4906"/>
    <w:rsid w:val="767C2684"/>
    <w:rsid w:val="769862A9"/>
    <w:rsid w:val="76BF7BF1"/>
    <w:rsid w:val="76F25A37"/>
    <w:rsid w:val="770775DD"/>
    <w:rsid w:val="77203CC0"/>
    <w:rsid w:val="77A6246D"/>
    <w:rsid w:val="786D0630"/>
    <w:rsid w:val="787E48C2"/>
    <w:rsid w:val="788C26C5"/>
    <w:rsid w:val="78A6132A"/>
    <w:rsid w:val="78A82911"/>
    <w:rsid w:val="790422EC"/>
    <w:rsid w:val="7907199A"/>
    <w:rsid w:val="79296162"/>
    <w:rsid w:val="7970033A"/>
    <w:rsid w:val="79E75FB0"/>
    <w:rsid w:val="7A34420B"/>
    <w:rsid w:val="7A365082"/>
    <w:rsid w:val="7AB929EE"/>
    <w:rsid w:val="7AD02203"/>
    <w:rsid w:val="7B4B4EF9"/>
    <w:rsid w:val="7B7F775D"/>
    <w:rsid w:val="7B952FF9"/>
    <w:rsid w:val="7C3F72C5"/>
    <w:rsid w:val="7C581327"/>
    <w:rsid w:val="7C60200C"/>
    <w:rsid w:val="7CB11A63"/>
    <w:rsid w:val="7CE9551A"/>
    <w:rsid w:val="7D8275CA"/>
    <w:rsid w:val="7DCE7799"/>
    <w:rsid w:val="7DE06D18"/>
    <w:rsid w:val="7DE707ED"/>
    <w:rsid w:val="7E1B7CE4"/>
    <w:rsid w:val="7E2663B9"/>
    <w:rsid w:val="7E586FA0"/>
    <w:rsid w:val="7E8642FA"/>
    <w:rsid w:val="7E9D2D42"/>
    <w:rsid w:val="7EA5679E"/>
    <w:rsid w:val="7EE36BE4"/>
    <w:rsid w:val="7F3F3BF5"/>
    <w:rsid w:val="7F7E5122"/>
    <w:rsid w:val="7FDE63E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name="toc 3"/>
    <w:lsdException w:qFormat="1" w:unhideWhenUsed="0" w:uiPriority="99" w:semiHidden="0"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uiPriority="99" w:name="Normal Indent" w:locked="1"/>
    <w:lsdException w:qFormat="1" w:unhideWhenUsed="0"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qFormat="1" w:unhideWhenUsed="0" w:uiPriority="99" w:name="footnote reference"/>
    <w:lsdException w:qFormat="1" w:unhideWhenUsed="0" w:uiPriority="99"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22" w:semiHidden="0" w:name="Strong" w:locked="1"/>
    <w:lsdException w:qFormat="1" w:unhideWhenUsed="0" w:uiPriority="20" w:semiHidden="0" w:name="Emphasis" w:locked="1"/>
    <w:lsdException w:qFormat="1" w:unhideWhenUsed="0" w:uiPriority="99" w:name="Document Map"/>
    <w:lsdException w:uiPriority="99" w:name="Plain Text" w:locked="1"/>
    <w:lsdException w:uiPriority="99" w:name="E-mail Signature" w:locked="1"/>
    <w:lsdException w:qFormat="1" w:unhideWhenUsed="0" w:uiPriority="99" w:semiHidden="0" w:name="Normal (Web)"/>
    <w:lsdException w:qFormat="1" w:unhideWhenUsed="0" w:uiPriority="99" w:semiHidden="0" w:name="HTML Acronym"/>
    <w:lsdException w:qFormat="1" w:unhideWhenUsed="0" w:uiPriority="99"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qFormat="1" w:unhideWhenUsed="0" w:uiPriority="99" w:semiHidden="0" w:name="Table Classic 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qFormat="1" w:unhideWhenUsed="0" w:uiPriority="99" w:semiHidden="0" w:name="Table List 3"/>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50"/>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51"/>
    <w:qFormat/>
    <w:uiPriority w:val="99"/>
    <w:pPr>
      <w:keepNext/>
      <w:keepLines/>
      <w:spacing w:before="260" w:after="260" w:line="416" w:lineRule="auto"/>
      <w:outlineLvl w:val="1"/>
    </w:pPr>
    <w:rPr>
      <w:rFonts w:ascii="Cambria" w:hAnsi="Cambria"/>
      <w:b/>
      <w:bCs/>
      <w:kern w:val="0"/>
      <w:sz w:val="32"/>
      <w:szCs w:val="32"/>
    </w:rPr>
  </w:style>
  <w:style w:type="paragraph" w:styleId="4">
    <w:name w:val="heading 3"/>
    <w:basedOn w:val="1"/>
    <w:next w:val="1"/>
    <w:link w:val="52"/>
    <w:qFormat/>
    <w:uiPriority w:val="99"/>
    <w:pPr>
      <w:keepNext/>
      <w:keepLines/>
      <w:spacing w:before="260" w:after="260" w:line="416" w:lineRule="auto"/>
      <w:outlineLvl w:val="2"/>
    </w:pPr>
    <w:rPr>
      <w:b/>
      <w:bCs/>
      <w:kern w:val="0"/>
      <w:sz w:val="32"/>
      <w:szCs w:val="32"/>
    </w:rPr>
  </w:style>
  <w:style w:type="paragraph" w:styleId="5">
    <w:name w:val="heading 4"/>
    <w:basedOn w:val="1"/>
    <w:next w:val="1"/>
    <w:link w:val="53"/>
    <w:qFormat/>
    <w:uiPriority w:val="99"/>
    <w:pPr>
      <w:keepNext/>
      <w:keepLines/>
      <w:spacing w:before="280" w:after="290" w:line="376" w:lineRule="auto"/>
      <w:outlineLvl w:val="3"/>
    </w:pPr>
    <w:rPr>
      <w:rFonts w:ascii="Cambria" w:hAnsi="Cambria"/>
      <w:b/>
      <w:bCs/>
      <w:kern w:val="0"/>
      <w:sz w:val="28"/>
      <w:szCs w:val="28"/>
    </w:rPr>
  </w:style>
  <w:style w:type="paragraph" w:styleId="6">
    <w:name w:val="heading 5"/>
    <w:basedOn w:val="1"/>
    <w:next w:val="1"/>
    <w:link w:val="49"/>
    <w:qFormat/>
    <w:uiPriority w:val="99"/>
    <w:pPr>
      <w:keepNext/>
      <w:keepLines/>
      <w:spacing w:before="280" w:after="290" w:line="376" w:lineRule="auto"/>
      <w:outlineLvl w:val="4"/>
    </w:pPr>
    <w:rPr>
      <w:b/>
      <w:bCs/>
      <w:kern w:val="0"/>
      <w:sz w:val="28"/>
      <w:szCs w:val="28"/>
    </w:rPr>
  </w:style>
  <w:style w:type="paragraph" w:styleId="7">
    <w:name w:val="heading 6"/>
    <w:basedOn w:val="1"/>
    <w:next w:val="1"/>
    <w:link w:val="54"/>
    <w:qFormat/>
    <w:uiPriority w:val="99"/>
    <w:pPr>
      <w:keepNext/>
      <w:keepLines/>
      <w:spacing w:before="240" w:after="64" w:line="320" w:lineRule="auto"/>
      <w:outlineLvl w:val="5"/>
    </w:pPr>
    <w:rPr>
      <w:rFonts w:ascii="Cambria" w:hAnsi="Cambria"/>
      <w:b/>
      <w:bCs/>
      <w:kern w:val="0"/>
      <w:sz w:val="24"/>
      <w:szCs w:val="24"/>
    </w:rPr>
  </w:style>
  <w:style w:type="paragraph" w:styleId="8">
    <w:name w:val="heading 7"/>
    <w:basedOn w:val="1"/>
    <w:next w:val="1"/>
    <w:link w:val="55"/>
    <w:qFormat/>
    <w:uiPriority w:val="99"/>
    <w:pPr>
      <w:keepNext/>
      <w:keepLines/>
      <w:spacing w:before="240" w:after="64" w:line="320" w:lineRule="auto"/>
      <w:outlineLvl w:val="6"/>
    </w:pPr>
    <w:rPr>
      <w:b/>
      <w:bCs/>
      <w:kern w:val="0"/>
      <w:sz w:val="24"/>
      <w:szCs w:val="24"/>
    </w:rPr>
  </w:style>
  <w:style w:type="paragraph" w:styleId="9">
    <w:name w:val="heading 8"/>
    <w:basedOn w:val="1"/>
    <w:next w:val="1"/>
    <w:link w:val="56"/>
    <w:qFormat/>
    <w:uiPriority w:val="99"/>
    <w:pPr>
      <w:keepNext/>
      <w:keepLines/>
      <w:spacing w:before="240" w:after="64" w:line="320" w:lineRule="auto"/>
      <w:outlineLvl w:val="7"/>
    </w:pPr>
    <w:rPr>
      <w:rFonts w:ascii="Cambria" w:hAnsi="Cambria"/>
      <w:kern w:val="0"/>
      <w:sz w:val="24"/>
      <w:szCs w:val="24"/>
    </w:rPr>
  </w:style>
  <w:style w:type="paragraph" w:styleId="10">
    <w:name w:val="heading 9"/>
    <w:basedOn w:val="1"/>
    <w:next w:val="1"/>
    <w:link w:val="57"/>
    <w:qFormat/>
    <w:uiPriority w:val="99"/>
    <w:pPr>
      <w:keepNext/>
      <w:keepLines/>
      <w:spacing w:before="240" w:after="64" w:line="320" w:lineRule="auto"/>
      <w:outlineLvl w:val="8"/>
    </w:pPr>
    <w:rPr>
      <w:rFonts w:ascii="Cambria" w:hAnsi="Cambria"/>
      <w:kern w:val="0"/>
      <w:sz w:val="20"/>
    </w:rPr>
  </w:style>
  <w:style w:type="character" w:default="1" w:styleId="36">
    <w:name w:val="Default Paragraph Font"/>
    <w:semiHidden/>
    <w:unhideWhenUsed/>
    <w:qFormat/>
    <w:uiPriority w:val="1"/>
  </w:style>
  <w:style w:type="table" w:default="1" w:styleId="32">
    <w:name w:val="Normal Table"/>
    <w:semiHidden/>
    <w:unhideWhenUsed/>
    <w:uiPriority w:val="99"/>
    <w:tblPr>
      <w:tblCellMar>
        <w:top w:w="0" w:type="dxa"/>
        <w:left w:w="108" w:type="dxa"/>
        <w:bottom w:w="0" w:type="dxa"/>
        <w:right w:w="108" w:type="dxa"/>
      </w:tblCellMar>
    </w:tblPr>
  </w:style>
  <w:style w:type="paragraph" w:styleId="11">
    <w:name w:val="toc 7"/>
    <w:basedOn w:val="12"/>
    <w:next w:val="1"/>
    <w:semiHidden/>
    <w:qFormat/>
    <w:uiPriority w:val="99"/>
    <w:pPr>
      <w:tabs>
        <w:tab w:val="right" w:leader="dot" w:pos="9345"/>
      </w:tabs>
    </w:pPr>
  </w:style>
  <w:style w:type="paragraph" w:styleId="12">
    <w:name w:val="toc 6"/>
    <w:basedOn w:val="13"/>
    <w:next w:val="1"/>
    <w:semiHidden/>
    <w:qFormat/>
    <w:uiPriority w:val="99"/>
    <w:pPr>
      <w:tabs>
        <w:tab w:val="right" w:leader="dot" w:pos="9345"/>
      </w:tabs>
    </w:pPr>
  </w:style>
  <w:style w:type="paragraph" w:styleId="13">
    <w:name w:val="toc 5"/>
    <w:basedOn w:val="14"/>
    <w:next w:val="1"/>
    <w:semiHidden/>
    <w:qFormat/>
    <w:uiPriority w:val="99"/>
    <w:pPr>
      <w:tabs>
        <w:tab w:val="right" w:leader="dot" w:pos="9345"/>
      </w:tabs>
    </w:pPr>
  </w:style>
  <w:style w:type="paragraph" w:styleId="14">
    <w:name w:val="toc 4"/>
    <w:basedOn w:val="15"/>
    <w:next w:val="1"/>
    <w:qFormat/>
    <w:uiPriority w:val="99"/>
    <w:pPr>
      <w:tabs>
        <w:tab w:val="right" w:leader="dot" w:pos="9345"/>
      </w:tabs>
      <w:jc w:val="distribute"/>
    </w:pPr>
  </w:style>
  <w:style w:type="paragraph" w:styleId="15">
    <w:name w:val="toc 3"/>
    <w:basedOn w:val="16"/>
    <w:next w:val="1"/>
    <w:semiHidden/>
    <w:qFormat/>
    <w:uiPriority w:val="99"/>
  </w:style>
  <w:style w:type="paragraph" w:styleId="16">
    <w:name w:val="toc 2"/>
    <w:basedOn w:val="17"/>
    <w:next w:val="1"/>
    <w:qFormat/>
    <w:uiPriority w:val="99"/>
  </w:style>
  <w:style w:type="paragraph" w:styleId="17">
    <w:name w:val="toc 1"/>
    <w:basedOn w:val="1"/>
    <w:next w:val="1"/>
    <w:qFormat/>
    <w:uiPriority w:val="99"/>
    <w:pPr>
      <w:widowControl/>
    </w:pPr>
    <w:rPr>
      <w:rFonts w:ascii="宋体" w:cs="宋体"/>
      <w:kern w:val="0"/>
    </w:rPr>
  </w:style>
  <w:style w:type="paragraph" w:styleId="18">
    <w:name w:val="Document Map"/>
    <w:basedOn w:val="1"/>
    <w:link w:val="156"/>
    <w:semiHidden/>
    <w:qFormat/>
    <w:uiPriority w:val="99"/>
    <w:rPr>
      <w:rFonts w:ascii="宋体"/>
      <w:sz w:val="18"/>
      <w:szCs w:val="18"/>
    </w:rPr>
  </w:style>
  <w:style w:type="paragraph" w:styleId="19">
    <w:name w:val="annotation text"/>
    <w:basedOn w:val="1"/>
    <w:link w:val="151"/>
    <w:semiHidden/>
    <w:qFormat/>
    <w:uiPriority w:val="99"/>
    <w:pPr>
      <w:jc w:val="left"/>
    </w:pPr>
    <w:rPr>
      <w:sz w:val="24"/>
      <w:szCs w:val="24"/>
    </w:rPr>
  </w:style>
  <w:style w:type="paragraph" w:styleId="20">
    <w:name w:val="HTML Address"/>
    <w:basedOn w:val="1"/>
    <w:link w:val="58"/>
    <w:qFormat/>
    <w:uiPriority w:val="99"/>
    <w:rPr>
      <w:i/>
      <w:iCs/>
      <w:kern w:val="0"/>
      <w:sz w:val="20"/>
    </w:rPr>
  </w:style>
  <w:style w:type="paragraph" w:styleId="21">
    <w:name w:val="toc 8"/>
    <w:basedOn w:val="11"/>
    <w:next w:val="1"/>
    <w:semiHidden/>
    <w:qFormat/>
    <w:uiPriority w:val="99"/>
  </w:style>
  <w:style w:type="paragraph" w:styleId="22">
    <w:name w:val="Date"/>
    <w:basedOn w:val="1"/>
    <w:next w:val="1"/>
    <w:link w:val="162"/>
    <w:qFormat/>
    <w:uiPriority w:val="99"/>
    <w:pPr>
      <w:ind w:left="100" w:leftChars="2500"/>
    </w:pPr>
    <w:rPr>
      <w:sz w:val="24"/>
      <w:szCs w:val="24"/>
    </w:rPr>
  </w:style>
  <w:style w:type="paragraph" w:styleId="23">
    <w:name w:val="Balloon Text"/>
    <w:basedOn w:val="1"/>
    <w:link w:val="124"/>
    <w:semiHidden/>
    <w:qFormat/>
    <w:uiPriority w:val="99"/>
    <w:rPr>
      <w:kern w:val="0"/>
      <w:sz w:val="2"/>
    </w:rPr>
  </w:style>
  <w:style w:type="paragraph" w:styleId="24">
    <w:name w:val="footer"/>
    <w:basedOn w:val="1"/>
    <w:link w:val="114"/>
    <w:qFormat/>
    <w:uiPriority w:val="99"/>
    <w:pPr>
      <w:tabs>
        <w:tab w:val="center" w:pos="4153"/>
        <w:tab w:val="right" w:pos="8306"/>
      </w:tabs>
      <w:snapToGrid w:val="0"/>
      <w:ind w:right="210" w:rightChars="100"/>
      <w:jc w:val="right"/>
    </w:pPr>
    <w:rPr>
      <w:kern w:val="0"/>
      <w:sz w:val="18"/>
      <w:szCs w:val="18"/>
    </w:rPr>
  </w:style>
  <w:style w:type="paragraph" w:styleId="25">
    <w:name w:val="header"/>
    <w:basedOn w:val="1"/>
    <w:link w:val="115"/>
    <w:qFormat/>
    <w:uiPriority w:val="99"/>
    <w:pPr>
      <w:numPr>
        <w:ilvl w:val="6"/>
        <w:numId w:val="1"/>
      </w:numPr>
      <w:pBdr>
        <w:bottom w:val="single" w:color="auto" w:sz="6" w:space="1"/>
      </w:pBdr>
      <w:tabs>
        <w:tab w:val="center" w:pos="4153"/>
        <w:tab w:val="right" w:pos="8306"/>
      </w:tabs>
      <w:snapToGrid w:val="0"/>
      <w:jc w:val="center"/>
    </w:pPr>
    <w:rPr>
      <w:sz w:val="18"/>
      <w:szCs w:val="18"/>
    </w:rPr>
  </w:style>
  <w:style w:type="paragraph" w:styleId="26">
    <w:name w:val="footnote text"/>
    <w:basedOn w:val="1"/>
    <w:link w:val="98"/>
    <w:semiHidden/>
    <w:qFormat/>
    <w:uiPriority w:val="99"/>
    <w:pPr>
      <w:snapToGrid w:val="0"/>
      <w:jc w:val="left"/>
    </w:pPr>
    <w:rPr>
      <w:kern w:val="0"/>
      <w:sz w:val="18"/>
      <w:szCs w:val="18"/>
    </w:rPr>
  </w:style>
  <w:style w:type="paragraph" w:styleId="27">
    <w:name w:val="toc 9"/>
    <w:basedOn w:val="21"/>
    <w:next w:val="1"/>
    <w:semiHidden/>
    <w:qFormat/>
    <w:uiPriority w:val="99"/>
  </w:style>
  <w:style w:type="paragraph" w:styleId="28">
    <w:name w:val="HTML Preformatted"/>
    <w:basedOn w:val="1"/>
    <w:link w:val="59"/>
    <w:qFormat/>
    <w:uiPriority w:val="99"/>
    <w:rPr>
      <w:rFonts w:ascii="Courier New" w:hAnsi="Courier New"/>
      <w:kern w:val="0"/>
      <w:sz w:val="20"/>
      <w:szCs w:val="20"/>
    </w:rPr>
  </w:style>
  <w:style w:type="paragraph" w:styleId="29">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30">
    <w:name w:val="Title"/>
    <w:basedOn w:val="1"/>
    <w:link w:val="60"/>
    <w:qFormat/>
    <w:uiPriority w:val="99"/>
    <w:pPr>
      <w:spacing w:before="240" w:after="60"/>
      <w:jc w:val="center"/>
      <w:outlineLvl w:val="0"/>
    </w:pPr>
    <w:rPr>
      <w:rFonts w:ascii="Cambria" w:hAnsi="Cambria"/>
      <w:b/>
      <w:bCs/>
      <w:kern w:val="0"/>
      <w:sz w:val="32"/>
      <w:szCs w:val="32"/>
    </w:rPr>
  </w:style>
  <w:style w:type="paragraph" w:styleId="31">
    <w:name w:val="annotation subject"/>
    <w:basedOn w:val="19"/>
    <w:next w:val="19"/>
    <w:link w:val="152"/>
    <w:semiHidden/>
    <w:qFormat/>
    <w:uiPriority w:val="99"/>
    <w:rPr>
      <w:b/>
      <w:bCs/>
    </w:rPr>
  </w:style>
  <w:style w:type="table" w:styleId="33">
    <w:name w:val="Table Grid"/>
    <w:basedOn w:val="32"/>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4">
    <w:name w:val="Table Classic 1"/>
    <w:basedOn w:val="32"/>
    <w:qFormat/>
    <w:uiPriority w:val="99"/>
    <w:pPr>
      <w:widowControl w:val="0"/>
      <w:jc w:val="both"/>
    </w:pPr>
    <w:tblPr>
      <w:tblBorders>
        <w:top w:val="single" w:color="000000" w:sz="12" w:space="0"/>
        <w:bottom w:val="single" w:color="000000" w:sz="12" w:space="0"/>
        <w:insideH w:val="single" w:color="auto" w:sz="4" w:space="0"/>
        <w:insideV w:val="single" w:color="auto" w:sz="4" w:space="0"/>
      </w:tblBorders>
    </w:tblPr>
    <w:tblStylePr w:type="firstRow">
      <w:rPr>
        <w:rFonts w:cs="Times New Roman"/>
        <w:i/>
        <w:iCs/>
      </w:rPr>
      <w:tblPr/>
      <w:tcPr>
        <w:tcBorders>
          <w:bottom w:val="single" w:color="000000" w:sz="6" w:space="0"/>
          <w:tl2br w:val="nil"/>
          <w:tr2bl w:val="nil"/>
        </w:tcBorders>
      </w:tcPr>
    </w:tblStylePr>
    <w:tblStylePr w:type="lastRow">
      <w:rPr>
        <w:rFonts w:cs="Times New Roman"/>
        <w:color w:val="auto"/>
      </w:rPr>
      <w:tblPr/>
      <w:tcPr>
        <w:tcBorders>
          <w:top w:val="single" w:color="000000" w:sz="6" w:space="0"/>
          <w:tl2br w:val="nil"/>
          <w:tr2bl w:val="nil"/>
        </w:tcBorders>
      </w:tcPr>
    </w:tblStylePr>
    <w:tblStylePr w:type="firstCol">
      <w:rPr>
        <w:rFonts w:cs="Times New Roman"/>
      </w:rPr>
      <w:tblPr/>
      <w:tcPr>
        <w:tcBorders>
          <w:right w:val="single" w:color="000000" w:sz="6" w:space="0"/>
          <w:tl2br w:val="nil"/>
          <w:tr2bl w:val="nil"/>
        </w:tcBorders>
      </w:tcPr>
    </w:tblStylePr>
    <w:tblStylePr w:type="neCell">
      <w:rPr>
        <w:rFonts w:cs="Times New Roman"/>
        <w:b/>
        <w:bCs/>
        <w:i w:val="0"/>
        <w:iCs w:val="0"/>
      </w:rPr>
      <w:tblPr/>
      <w:tcPr>
        <w:tcBorders>
          <w:tl2br w:val="nil"/>
          <w:tr2bl w:val="nil"/>
        </w:tcBorders>
      </w:tcPr>
    </w:tblStylePr>
    <w:tblStylePr w:type="swCell">
      <w:rPr>
        <w:rFonts w:cs="Times New Roman"/>
        <w:b/>
        <w:bCs/>
      </w:rPr>
      <w:tblPr/>
      <w:tcPr>
        <w:tcBorders>
          <w:tl2br w:val="nil"/>
          <w:tr2bl w:val="nil"/>
        </w:tcBorders>
      </w:tcPr>
    </w:tblStylePr>
  </w:style>
  <w:style w:type="table" w:styleId="35">
    <w:name w:val="Table List 3"/>
    <w:basedOn w:val="32"/>
    <w:qFormat/>
    <w:uiPriority w:val="99"/>
    <w:pPr>
      <w:widowControl w:val="0"/>
      <w:jc w:val="both"/>
    </w:pPr>
    <w:tblPr>
      <w:tblBorders>
        <w:top w:val="single" w:color="000000" w:sz="12" w:space="0"/>
        <w:bottom w:val="single" w:color="000000" w:sz="12" w:space="0"/>
        <w:insideH w:val="single" w:color="auto" w:sz="4" w:space="0"/>
        <w:insideV w:val="single" w:color="auto" w:sz="4" w:space="0"/>
      </w:tblBorders>
    </w:tblPr>
    <w:tblStylePr w:type="firstRow">
      <w:rPr>
        <w:rFonts w:cs="Times New Roman"/>
        <w:b/>
        <w:bCs/>
        <w:color w:val="000080"/>
      </w:rPr>
      <w:tblPr/>
      <w:tcPr>
        <w:tcBorders>
          <w:bottom w:val="single" w:color="000000" w:sz="12" w:space="0"/>
          <w:tl2br w:val="nil"/>
          <w:tr2bl w:val="nil"/>
        </w:tcBorders>
      </w:tcPr>
    </w:tblStylePr>
    <w:tblStylePr w:type="lastRow">
      <w:rPr>
        <w:rFonts w:cs="Times New Roman"/>
      </w:rPr>
      <w:tblPr/>
      <w:tcPr>
        <w:tcBorders>
          <w:top w:val="single" w:color="000000" w:sz="12" w:space="0"/>
          <w:tl2br w:val="nil"/>
          <w:tr2bl w:val="nil"/>
        </w:tcBorders>
      </w:tcPr>
    </w:tblStylePr>
    <w:tblStylePr w:type="swCell">
      <w:rPr>
        <w:rFonts w:cs="Times New Roman"/>
        <w:i/>
        <w:iCs/>
        <w:color w:val="000080"/>
      </w:rPr>
      <w:tblPr/>
      <w:tcPr>
        <w:tcBorders>
          <w:tl2br w:val="nil"/>
          <w:tr2bl w:val="nil"/>
        </w:tcBorders>
      </w:tcPr>
    </w:tblStylePr>
  </w:style>
  <w:style w:type="character" w:styleId="37">
    <w:name w:val="page number"/>
    <w:qFormat/>
    <w:uiPriority w:val="99"/>
    <w:rPr>
      <w:rFonts w:ascii="Times New Roman" w:hAnsi="Times New Roman" w:eastAsia="宋体" w:cs="Times New Roman"/>
      <w:sz w:val="18"/>
    </w:rPr>
  </w:style>
  <w:style w:type="character" w:styleId="38">
    <w:name w:val="HTML Definition"/>
    <w:qFormat/>
    <w:uiPriority w:val="99"/>
    <w:rPr>
      <w:rFonts w:cs="Times New Roman"/>
      <w:i/>
    </w:rPr>
  </w:style>
  <w:style w:type="character" w:styleId="39">
    <w:name w:val="HTML Typewriter"/>
    <w:qFormat/>
    <w:uiPriority w:val="99"/>
    <w:rPr>
      <w:rFonts w:ascii="Courier New" w:hAnsi="Courier New" w:cs="Times New Roman"/>
      <w:sz w:val="20"/>
    </w:rPr>
  </w:style>
  <w:style w:type="character" w:styleId="40">
    <w:name w:val="HTML Acronym"/>
    <w:qFormat/>
    <w:uiPriority w:val="99"/>
    <w:rPr>
      <w:rFonts w:cs="Times New Roman"/>
    </w:rPr>
  </w:style>
  <w:style w:type="character" w:styleId="41">
    <w:name w:val="HTML Variable"/>
    <w:qFormat/>
    <w:uiPriority w:val="99"/>
    <w:rPr>
      <w:rFonts w:cs="Times New Roman"/>
      <w:i/>
    </w:rPr>
  </w:style>
  <w:style w:type="character" w:styleId="42">
    <w:name w:val="Hyperlink"/>
    <w:qFormat/>
    <w:uiPriority w:val="99"/>
    <w:rPr>
      <w:rFonts w:ascii="Times New Roman" w:hAnsi="Times New Roman" w:eastAsia="宋体" w:cs="Times New Roman"/>
      <w:color w:val="auto"/>
      <w:spacing w:val="0"/>
      <w:w w:val="100"/>
      <w:position w:val="0"/>
      <w:sz w:val="21"/>
      <w:u w:val="none"/>
      <w:vertAlign w:val="baseline"/>
    </w:rPr>
  </w:style>
  <w:style w:type="character" w:styleId="43">
    <w:name w:val="HTML Code"/>
    <w:qFormat/>
    <w:uiPriority w:val="99"/>
    <w:rPr>
      <w:rFonts w:ascii="Courier New" w:hAnsi="Courier New" w:cs="Times New Roman"/>
      <w:sz w:val="20"/>
    </w:rPr>
  </w:style>
  <w:style w:type="character" w:styleId="44">
    <w:name w:val="annotation reference"/>
    <w:semiHidden/>
    <w:qFormat/>
    <w:uiPriority w:val="99"/>
    <w:rPr>
      <w:rFonts w:cs="Times New Roman"/>
      <w:sz w:val="21"/>
    </w:rPr>
  </w:style>
  <w:style w:type="character" w:styleId="45">
    <w:name w:val="HTML Cite"/>
    <w:qFormat/>
    <w:uiPriority w:val="99"/>
    <w:rPr>
      <w:rFonts w:cs="Times New Roman"/>
      <w:i/>
    </w:rPr>
  </w:style>
  <w:style w:type="character" w:styleId="46">
    <w:name w:val="footnote reference"/>
    <w:semiHidden/>
    <w:qFormat/>
    <w:uiPriority w:val="99"/>
    <w:rPr>
      <w:rFonts w:cs="Times New Roman"/>
      <w:vertAlign w:val="superscript"/>
    </w:rPr>
  </w:style>
  <w:style w:type="character" w:styleId="47">
    <w:name w:val="HTML Keyboard"/>
    <w:qFormat/>
    <w:uiPriority w:val="99"/>
    <w:rPr>
      <w:rFonts w:ascii="Courier New" w:hAnsi="Courier New" w:cs="Times New Roman"/>
      <w:sz w:val="20"/>
    </w:rPr>
  </w:style>
  <w:style w:type="character" w:styleId="48">
    <w:name w:val="HTML Sample"/>
    <w:qFormat/>
    <w:uiPriority w:val="99"/>
    <w:rPr>
      <w:rFonts w:ascii="Courier New" w:hAnsi="Courier New" w:cs="Times New Roman"/>
    </w:rPr>
  </w:style>
  <w:style w:type="character" w:customStyle="1" w:styleId="49">
    <w:name w:val="标题 5 字符"/>
    <w:link w:val="6"/>
    <w:semiHidden/>
    <w:qFormat/>
    <w:locked/>
    <w:uiPriority w:val="99"/>
    <w:rPr>
      <w:rFonts w:cs="Times New Roman"/>
      <w:b/>
      <w:sz w:val="28"/>
    </w:rPr>
  </w:style>
  <w:style w:type="character" w:customStyle="1" w:styleId="50">
    <w:name w:val="标题 1 字符"/>
    <w:link w:val="2"/>
    <w:qFormat/>
    <w:locked/>
    <w:uiPriority w:val="99"/>
    <w:rPr>
      <w:rFonts w:cs="Times New Roman"/>
      <w:b/>
      <w:kern w:val="44"/>
      <w:sz w:val="44"/>
    </w:rPr>
  </w:style>
  <w:style w:type="character" w:customStyle="1" w:styleId="51">
    <w:name w:val="标题 2 字符"/>
    <w:link w:val="3"/>
    <w:semiHidden/>
    <w:qFormat/>
    <w:locked/>
    <w:uiPriority w:val="99"/>
    <w:rPr>
      <w:rFonts w:ascii="Cambria" w:hAnsi="Cambria" w:eastAsia="宋体" w:cs="Times New Roman"/>
      <w:b/>
      <w:sz w:val="32"/>
    </w:rPr>
  </w:style>
  <w:style w:type="character" w:customStyle="1" w:styleId="52">
    <w:name w:val="标题 3 字符"/>
    <w:link w:val="4"/>
    <w:semiHidden/>
    <w:qFormat/>
    <w:locked/>
    <w:uiPriority w:val="99"/>
    <w:rPr>
      <w:rFonts w:cs="Times New Roman"/>
      <w:b/>
      <w:sz w:val="32"/>
    </w:rPr>
  </w:style>
  <w:style w:type="character" w:customStyle="1" w:styleId="53">
    <w:name w:val="标题 4 字符"/>
    <w:link w:val="5"/>
    <w:semiHidden/>
    <w:qFormat/>
    <w:locked/>
    <w:uiPriority w:val="99"/>
    <w:rPr>
      <w:rFonts w:ascii="Cambria" w:hAnsi="Cambria" w:eastAsia="宋体" w:cs="Times New Roman"/>
      <w:b/>
      <w:sz w:val="28"/>
    </w:rPr>
  </w:style>
  <w:style w:type="character" w:customStyle="1" w:styleId="54">
    <w:name w:val="标题 6 字符"/>
    <w:link w:val="7"/>
    <w:semiHidden/>
    <w:qFormat/>
    <w:locked/>
    <w:uiPriority w:val="99"/>
    <w:rPr>
      <w:rFonts w:ascii="Cambria" w:hAnsi="Cambria" w:eastAsia="宋体" w:cs="Times New Roman"/>
      <w:b/>
      <w:sz w:val="24"/>
    </w:rPr>
  </w:style>
  <w:style w:type="character" w:customStyle="1" w:styleId="55">
    <w:name w:val="标题 7 字符"/>
    <w:link w:val="8"/>
    <w:semiHidden/>
    <w:qFormat/>
    <w:locked/>
    <w:uiPriority w:val="99"/>
    <w:rPr>
      <w:rFonts w:cs="Times New Roman"/>
      <w:b/>
      <w:sz w:val="24"/>
    </w:rPr>
  </w:style>
  <w:style w:type="character" w:customStyle="1" w:styleId="56">
    <w:name w:val="标题 8 字符"/>
    <w:link w:val="9"/>
    <w:semiHidden/>
    <w:qFormat/>
    <w:locked/>
    <w:uiPriority w:val="99"/>
    <w:rPr>
      <w:rFonts w:ascii="Cambria" w:hAnsi="Cambria" w:eastAsia="宋体" w:cs="Times New Roman"/>
      <w:sz w:val="24"/>
    </w:rPr>
  </w:style>
  <w:style w:type="character" w:customStyle="1" w:styleId="57">
    <w:name w:val="标题 9 字符"/>
    <w:link w:val="10"/>
    <w:semiHidden/>
    <w:qFormat/>
    <w:locked/>
    <w:uiPriority w:val="99"/>
    <w:rPr>
      <w:rFonts w:ascii="Cambria" w:hAnsi="Cambria" w:eastAsia="宋体" w:cs="Times New Roman"/>
      <w:sz w:val="21"/>
    </w:rPr>
  </w:style>
  <w:style w:type="character" w:customStyle="1" w:styleId="58">
    <w:name w:val="HTML 地址 字符"/>
    <w:link w:val="20"/>
    <w:semiHidden/>
    <w:qFormat/>
    <w:locked/>
    <w:uiPriority w:val="99"/>
    <w:rPr>
      <w:rFonts w:cs="Times New Roman"/>
      <w:i/>
      <w:sz w:val="21"/>
    </w:rPr>
  </w:style>
  <w:style w:type="character" w:customStyle="1" w:styleId="59">
    <w:name w:val="HTML 预设格式 字符"/>
    <w:link w:val="28"/>
    <w:semiHidden/>
    <w:qFormat/>
    <w:locked/>
    <w:uiPriority w:val="99"/>
    <w:rPr>
      <w:rFonts w:ascii="Courier New" w:hAnsi="Courier New" w:cs="Times New Roman"/>
      <w:sz w:val="20"/>
    </w:rPr>
  </w:style>
  <w:style w:type="character" w:customStyle="1" w:styleId="60">
    <w:name w:val="标题 字符"/>
    <w:link w:val="30"/>
    <w:qFormat/>
    <w:locked/>
    <w:uiPriority w:val="99"/>
    <w:rPr>
      <w:rFonts w:ascii="Cambria" w:hAnsi="Cambria" w:cs="Times New Roman"/>
      <w:b/>
      <w:sz w:val="32"/>
    </w:rPr>
  </w:style>
  <w:style w:type="paragraph" w:customStyle="1" w:styleId="61">
    <w:name w:val="标准标志"/>
    <w:next w:val="1"/>
    <w:qFormat/>
    <w:uiPriority w:val="99"/>
    <w:pPr>
      <w:framePr w:w="2268" w:h="1392" w:hRule="exact" w:wrap="around" w:vAnchor="margin" w:hAnchor="margin" w:x="6748" w:y="171" w:anchorLock="1"/>
      <w:shd w:val="solid" w:color="FFFFFF" w:fill="FFFFFF"/>
      <w:spacing w:line="240" w:lineRule="atLeast"/>
      <w:jc w:val="right"/>
    </w:pPr>
    <w:rPr>
      <w:rFonts w:ascii="Times New Roman" w:hAnsi="Times New Roman" w:eastAsia="宋体" w:cs="Times New Roman"/>
      <w:b/>
      <w:bCs/>
      <w:w w:val="130"/>
      <w:sz w:val="96"/>
      <w:szCs w:val="96"/>
      <w:lang w:val="en-US" w:eastAsia="zh-CN" w:bidi="ar-SA"/>
    </w:rPr>
  </w:style>
  <w:style w:type="paragraph" w:customStyle="1" w:styleId="62">
    <w:name w:val="标准称谓"/>
    <w:next w:val="1"/>
    <w:qFormat/>
    <w:uiPriority w:val="99"/>
    <w:pPr>
      <w:framePr w:w="9638" w:h="754" w:hRule="exact" w:hSpace="180" w:vSpace="180" w:wrap="around" w:vAnchor="page" w:hAnchor="margin" w:xAlign="center" w:y="2128" w:anchorLock="1"/>
      <w:widowControl w:val="0"/>
      <w:kinsoku w:val="0"/>
      <w:overflowPunct w:val="0"/>
      <w:autoSpaceDE w:val="0"/>
      <w:autoSpaceDN w:val="0"/>
      <w:spacing w:line="240" w:lineRule="atLeast"/>
      <w:jc w:val="distribute"/>
    </w:pPr>
    <w:rPr>
      <w:rFonts w:ascii="宋体" w:hAnsi="Times New Roman" w:eastAsia="宋体" w:cs="宋体"/>
      <w:b/>
      <w:bCs/>
      <w:spacing w:val="20"/>
      <w:w w:val="148"/>
      <w:sz w:val="52"/>
      <w:szCs w:val="52"/>
      <w:lang w:val="en-US" w:eastAsia="zh-CN" w:bidi="ar-SA"/>
    </w:rPr>
  </w:style>
  <w:style w:type="paragraph" w:customStyle="1" w:styleId="63">
    <w:name w:val="标准书脚_偶数页"/>
    <w:qFormat/>
    <w:uiPriority w:val="99"/>
    <w:pPr>
      <w:spacing w:before="120"/>
    </w:pPr>
    <w:rPr>
      <w:rFonts w:ascii="Times New Roman" w:hAnsi="Times New Roman" w:eastAsia="宋体" w:cs="Times New Roman"/>
      <w:sz w:val="18"/>
      <w:szCs w:val="18"/>
      <w:lang w:val="en-US" w:eastAsia="zh-CN" w:bidi="ar-SA"/>
    </w:rPr>
  </w:style>
  <w:style w:type="paragraph" w:customStyle="1" w:styleId="64">
    <w:name w:val="标准书脚_奇数页"/>
    <w:qFormat/>
    <w:uiPriority w:val="99"/>
    <w:pPr>
      <w:spacing w:before="120"/>
      <w:jc w:val="right"/>
    </w:pPr>
    <w:rPr>
      <w:rFonts w:ascii="Times New Roman" w:hAnsi="Times New Roman" w:eastAsia="宋体" w:cs="Times New Roman"/>
      <w:sz w:val="18"/>
      <w:szCs w:val="18"/>
      <w:lang w:val="en-US" w:eastAsia="zh-CN" w:bidi="ar-SA"/>
    </w:rPr>
  </w:style>
  <w:style w:type="paragraph" w:customStyle="1" w:styleId="65">
    <w:name w:val="标准书眉_奇数页"/>
    <w:next w:val="1"/>
    <w:qFormat/>
    <w:uiPriority w:val="99"/>
    <w:pPr>
      <w:tabs>
        <w:tab w:val="center" w:pos="4154"/>
        <w:tab w:val="right" w:pos="8306"/>
      </w:tabs>
      <w:spacing w:after="120"/>
      <w:jc w:val="right"/>
    </w:pPr>
    <w:rPr>
      <w:rFonts w:ascii="Times New Roman" w:hAnsi="Times New Roman" w:eastAsia="宋体" w:cs="Times New Roman"/>
      <w:sz w:val="21"/>
      <w:szCs w:val="21"/>
      <w:lang w:val="en-US" w:eastAsia="zh-CN" w:bidi="ar-SA"/>
    </w:rPr>
  </w:style>
  <w:style w:type="paragraph" w:customStyle="1" w:styleId="66">
    <w:name w:val="标准书眉_偶数页"/>
    <w:basedOn w:val="65"/>
    <w:next w:val="1"/>
    <w:qFormat/>
    <w:uiPriority w:val="99"/>
    <w:pPr>
      <w:jc w:val="left"/>
    </w:pPr>
  </w:style>
  <w:style w:type="paragraph" w:customStyle="1" w:styleId="67">
    <w:name w:val="标准书眉一"/>
    <w:qFormat/>
    <w:uiPriority w:val="99"/>
    <w:pPr>
      <w:jc w:val="both"/>
    </w:pPr>
    <w:rPr>
      <w:rFonts w:ascii="Times New Roman" w:hAnsi="Times New Roman" w:eastAsia="宋体" w:cs="Times New Roman"/>
      <w:lang w:val="en-US" w:eastAsia="zh-CN" w:bidi="ar-SA"/>
    </w:rPr>
  </w:style>
  <w:style w:type="paragraph" w:customStyle="1" w:styleId="68">
    <w:name w:val="前言、引言标题"/>
    <w:next w:val="1"/>
    <w:qFormat/>
    <w:uiPriority w:val="99"/>
    <w:pPr>
      <w:numPr>
        <w:ilvl w:val="0"/>
        <w:numId w:val="1"/>
      </w:numPr>
      <w:shd w:val="clear" w:color="FFFFFF" w:fill="FFFFFF"/>
      <w:spacing w:before="640" w:after="560"/>
      <w:jc w:val="center"/>
      <w:outlineLvl w:val="0"/>
    </w:pPr>
    <w:rPr>
      <w:rFonts w:ascii="黑体" w:hAnsi="Times New Roman" w:eastAsia="黑体" w:cs="黑体"/>
      <w:sz w:val="32"/>
      <w:szCs w:val="32"/>
      <w:lang w:val="en-US" w:eastAsia="zh-CN" w:bidi="ar-SA"/>
    </w:rPr>
  </w:style>
  <w:style w:type="paragraph" w:customStyle="1" w:styleId="69">
    <w:name w:val="参考文献、索引标题"/>
    <w:basedOn w:val="68"/>
    <w:next w:val="1"/>
    <w:qFormat/>
    <w:uiPriority w:val="99"/>
    <w:pPr>
      <w:numPr>
        <w:numId w:val="0"/>
      </w:numPr>
      <w:spacing w:after="200"/>
    </w:pPr>
    <w:rPr>
      <w:sz w:val="21"/>
      <w:szCs w:val="21"/>
    </w:rPr>
  </w:style>
  <w:style w:type="paragraph" w:customStyle="1" w:styleId="70">
    <w:name w:val="段 Char"/>
    <w:link w:val="123"/>
    <w:qFormat/>
    <w:uiPriority w:val="99"/>
    <w:pPr>
      <w:autoSpaceDE w:val="0"/>
      <w:autoSpaceDN w:val="0"/>
      <w:ind w:firstLine="200" w:firstLineChars="200"/>
      <w:jc w:val="both"/>
    </w:pPr>
    <w:rPr>
      <w:rFonts w:ascii="宋体" w:hAnsi="Times New Roman" w:eastAsia="宋体" w:cs="Times New Roman"/>
      <w:kern w:val="2"/>
      <w:sz w:val="24"/>
      <w:szCs w:val="22"/>
      <w:lang w:val="en-US" w:eastAsia="zh-CN" w:bidi="ar-SA"/>
    </w:rPr>
  </w:style>
  <w:style w:type="paragraph" w:customStyle="1" w:styleId="71">
    <w:name w:val="章标题"/>
    <w:next w:val="72"/>
    <w:qFormat/>
    <w:uiPriority w:val="99"/>
    <w:pPr>
      <w:numPr>
        <w:ilvl w:val="1"/>
        <w:numId w:val="1"/>
      </w:numPr>
      <w:spacing w:beforeLines="50" w:afterLines="50"/>
      <w:jc w:val="both"/>
      <w:outlineLvl w:val="1"/>
    </w:pPr>
    <w:rPr>
      <w:rFonts w:ascii="黑体" w:hAnsi="Times New Roman" w:eastAsia="黑体" w:cs="黑体"/>
      <w:sz w:val="21"/>
      <w:szCs w:val="21"/>
      <w:lang w:val="en-US" w:eastAsia="zh-CN" w:bidi="ar-SA"/>
    </w:rPr>
  </w:style>
  <w:style w:type="paragraph" w:customStyle="1" w:styleId="72">
    <w:name w:val="段"/>
    <w:qFormat/>
    <w:uiPriority w:val="99"/>
    <w:pPr>
      <w:autoSpaceDE w:val="0"/>
      <w:autoSpaceDN w:val="0"/>
      <w:ind w:firstLine="200" w:firstLineChars="200"/>
      <w:jc w:val="both"/>
    </w:pPr>
    <w:rPr>
      <w:rFonts w:ascii="宋体" w:hAnsi="Times New Roman" w:eastAsia="宋体" w:cs="宋体"/>
      <w:sz w:val="21"/>
      <w:szCs w:val="21"/>
      <w:lang w:val="en-US" w:eastAsia="zh-CN" w:bidi="ar-SA"/>
    </w:rPr>
  </w:style>
  <w:style w:type="paragraph" w:customStyle="1" w:styleId="73">
    <w:name w:val="一级条标题"/>
    <w:next w:val="72"/>
    <w:link w:val="173"/>
    <w:qFormat/>
    <w:uiPriority w:val="99"/>
    <w:pPr>
      <w:numPr>
        <w:ilvl w:val="2"/>
        <w:numId w:val="1"/>
      </w:numPr>
      <w:outlineLvl w:val="2"/>
    </w:pPr>
    <w:rPr>
      <w:rFonts w:ascii="Times New Roman" w:hAnsi="Times New Roman" w:eastAsia="黑体" w:cs="Times New Roman"/>
      <w:sz w:val="21"/>
      <w:szCs w:val="21"/>
      <w:lang w:val="en-US" w:eastAsia="zh-CN" w:bidi="ar-SA"/>
    </w:rPr>
  </w:style>
  <w:style w:type="paragraph" w:customStyle="1" w:styleId="74">
    <w:name w:val="二级条标题"/>
    <w:basedOn w:val="73"/>
    <w:next w:val="72"/>
    <w:qFormat/>
    <w:uiPriority w:val="99"/>
    <w:pPr>
      <w:numPr>
        <w:ilvl w:val="3"/>
      </w:numPr>
      <w:outlineLvl w:val="3"/>
    </w:pPr>
  </w:style>
  <w:style w:type="character" w:customStyle="1" w:styleId="75">
    <w:name w:val="发布"/>
    <w:qFormat/>
    <w:uiPriority w:val="99"/>
    <w:rPr>
      <w:rFonts w:ascii="黑体" w:eastAsia="黑体"/>
      <w:spacing w:val="22"/>
      <w:w w:val="100"/>
      <w:position w:val="3"/>
      <w:sz w:val="28"/>
    </w:rPr>
  </w:style>
  <w:style w:type="paragraph" w:customStyle="1" w:styleId="76">
    <w:name w:val="发布部门"/>
    <w:next w:val="72"/>
    <w:qFormat/>
    <w:uiPriority w:val="99"/>
    <w:pPr>
      <w:framePr w:w="7433" w:h="585" w:hRule="exact" w:hSpace="180" w:vSpace="180" w:wrap="around" w:vAnchor="margin" w:hAnchor="margin" w:xAlign="center" w:y="14401" w:anchorLock="1"/>
      <w:jc w:val="center"/>
    </w:pPr>
    <w:rPr>
      <w:rFonts w:ascii="宋体" w:hAnsi="Times New Roman" w:eastAsia="宋体" w:cs="宋体"/>
      <w:b/>
      <w:bCs/>
      <w:spacing w:val="20"/>
      <w:w w:val="135"/>
      <w:sz w:val="36"/>
      <w:szCs w:val="36"/>
      <w:lang w:val="en-US" w:eastAsia="zh-CN" w:bidi="ar-SA"/>
    </w:rPr>
  </w:style>
  <w:style w:type="paragraph" w:customStyle="1" w:styleId="77">
    <w:name w:val="发布日期"/>
    <w:qFormat/>
    <w:uiPriority w:val="99"/>
    <w:pPr>
      <w:framePr w:w="4000" w:h="473" w:hRule="exact" w:hSpace="180" w:vSpace="180" w:wrap="around" w:vAnchor="margin" w:hAnchor="margin" w:y="13511" w:anchorLock="1"/>
    </w:pPr>
    <w:rPr>
      <w:rFonts w:ascii="Times New Roman" w:hAnsi="Times New Roman" w:eastAsia="黑体" w:cs="Times New Roman"/>
      <w:sz w:val="28"/>
      <w:szCs w:val="28"/>
      <w:lang w:val="en-US" w:eastAsia="zh-CN" w:bidi="ar-SA"/>
    </w:rPr>
  </w:style>
  <w:style w:type="paragraph" w:customStyle="1" w:styleId="78">
    <w:name w:val="封面标准号1"/>
    <w:qFormat/>
    <w:uiPriority w:val="99"/>
    <w:pPr>
      <w:widowControl w:val="0"/>
      <w:kinsoku w:val="0"/>
      <w:overflowPunct w:val="0"/>
      <w:autoSpaceDE w:val="0"/>
      <w:autoSpaceDN w:val="0"/>
      <w:spacing w:before="308"/>
      <w:jc w:val="right"/>
      <w:textAlignment w:val="center"/>
    </w:pPr>
    <w:rPr>
      <w:rFonts w:ascii="Times New Roman" w:hAnsi="Times New Roman" w:eastAsia="宋体" w:cs="Times New Roman"/>
      <w:sz w:val="28"/>
      <w:szCs w:val="28"/>
      <w:lang w:val="en-US" w:eastAsia="zh-CN" w:bidi="ar-SA"/>
    </w:rPr>
  </w:style>
  <w:style w:type="paragraph" w:customStyle="1" w:styleId="79">
    <w:name w:val="封面标准号2"/>
    <w:basedOn w:val="78"/>
    <w:qFormat/>
    <w:uiPriority w:val="99"/>
    <w:pPr>
      <w:framePr w:w="9138" w:h="1244" w:hRule="exact" w:wrap="around" w:vAnchor="page" w:hAnchor="margin" w:y="2908"/>
      <w:adjustRightInd w:val="0"/>
      <w:spacing w:before="357" w:line="280" w:lineRule="exact"/>
    </w:pPr>
  </w:style>
  <w:style w:type="paragraph" w:customStyle="1" w:styleId="80">
    <w:name w:val="封面标准代替信息"/>
    <w:basedOn w:val="79"/>
    <w:qFormat/>
    <w:uiPriority w:val="99"/>
    <w:pPr>
      <w:framePr w:wrap="around"/>
      <w:spacing w:before="57"/>
    </w:pPr>
    <w:rPr>
      <w:rFonts w:ascii="宋体" w:cs="宋体"/>
      <w:sz w:val="21"/>
      <w:szCs w:val="21"/>
    </w:rPr>
  </w:style>
  <w:style w:type="paragraph" w:customStyle="1" w:styleId="81">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黑体"/>
      <w:sz w:val="52"/>
      <w:szCs w:val="52"/>
      <w:lang w:val="en-US" w:eastAsia="zh-CN" w:bidi="ar-SA"/>
    </w:rPr>
  </w:style>
  <w:style w:type="paragraph" w:customStyle="1" w:styleId="82">
    <w:name w:val="封面标准文稿编辑信息"/>
    <w:qFormat/>
    <w:uiPriority w:val="99"/>
    <w:pPr>
      <w:spacing w:before="180" w:line="180" w:lineRule="exact"/>
      <w:jc w:val="center"/>
    </w:pPr>
    <w:rPr>
      <w:rFonts w:ascii="宋体" w:hAnsi="Times New Roman" w:eastAsia="宋体" w:cs="宋体"/>
      <w:sz w:val="21"/>
      <w:szCs w:val="21"/>
      <w:lang w:val="en-US" w:eastAsia="zh-CN" w:bidi="ar-SA"/>
    </w:rPr>
  </w:style>
  <w:style w:type="paragraph" w:customStyle="1" w:styleId="83">
    <w:name w:val="封面标准文稿类别"/>
    <w:qFormat/>
    <w:uiPriority w:val="99"/>
    <w:pPr>
      <w:spacing w:before="440" w:line="400" w:lineRule="exact"/>
      <w:jc w:val="center"/>
    </w:pPr>
    <w:rPr>
      <w:rFonts w:ascii="宋体" w:hAnsi="Times New Roman" w:eastAsia="宋体" w:cs="宋体"/>
      <w:sz w:val="24"/>
      <w:szCs w:val="24"/>
      <w:lang w:val="en-US" w:eastAsia="zh-CN" w:bidi="ar-SA"/>
    </w:rPr>
  </w:style>
  <w:style w:type="paragraph" w:customStyle="1" w:styleId="84">
    <w:name w:val="封面标准英文名称"/>
    <w:qFormat/>
    <w:uiPriority w:val="99"/>
    <w:pPr>
      <w:widowControl w:val="0"/>
      <w:spacing w:before="370" w:line="400" w:lineRule="exact"/>
      <w:jc w:val="center"/>
    </w:pPr>
    <w:rPr>
      <w:rFonts w:ascii="Times New Roman" w:hAnsi="Times New Roman" w:eastAsia="宋体" w:cs="Times New Roman"/>
      <w:sz w:val="28"/>
      <w:szCs w:val="28"/>
      <w:lang w:val="en-US" w:eastAsia="zh-CN" w:bidi="ar-SA"/>
    </w:rPr>
  </w:style>
  <w:style w:type="paragraph" w:customStyle="1" w:styleId="85">
    <w:name w:val="封面一致性程度标识"/>
    <w:qFormat/>
    <w:uiPriority w:val="99"/>
    <w:pPr>
      <w:spacing w:before="440" w:line="400" w:lineRule="exact"/>
      <w:jc w:val="center"/>
    </w:pPr>
    <w:rPr>
      <w:rFonts w:ascii="宋体" w:hAnsi="Times New Roman" w:eastAsia="宋体" w:cs="宋体"/>
      <w:sz w:val="28"/>
      <w:szCs w:val="28"/>
      <w:lang w:val="en-US" w:eastAsia="zh-CN" w:bidi="ar-SA"/>
    </w:rPr>
  </w:style>
  <w:style w:type="paragraph" w:customStyle="1" w:styleId="86">
    <w:name w:val="封面正文"/>
    <w:qFormat/>
    <w:uiPriority w:val="99"/>
    <w:pPr>
      <w:jc w:val="both"/>
    </w:pPr>
    <w:rPr>
      <w:rFonts w:ascii="Times New Roman" w:hAnsi="Times New Roman" w:eastAsia="宋体" w:cs="Times New Roman"/>
      <w:lang w:val="en-US" w:eastAsia="zh-CN" w:bidi="ar-SA"/>
    </w:rPr>
  </w:style>
  <w:style w:type="paragraph" w:customStyle="1" w:styleId="87">
    <w:name w:val="附录标识"/>
    <w:basedOn w:val="68"/>
    <w:qFormat/>
    <w:uiPriority w:val="99"/>
    <w:pPr>
      <w:numPr>
        <w:numId w:val="0"/>
      </w:numPr>
      <w:tabs>
        <w:tab w:val="left" w:pos="1140"/>
        <w:tab w:val="left" w:pos="6405"/>
      </w:tabs>
      <w:spacing w:after="200"/>
      <w:ind w:left="840" w:hanging="420"/>
    </w:pPr>
    <w:rPr>
      <w:sz w:val="21"/>
      <w:szCs w:val="21"/>
    </w:rPr>
  </w:style>
  <w:style w:type="paragraph" w:customStyle="1" w:styleId="88">
    <w:name w:val="附录表标题"/>
    <w:next w:val="72"/>
    <w:qFormat/>
    <w:uiPriority w:val="99"/>
    <w:pPr>
      <w:numPr>
        <w:ilvl w:val="0"/>
        <w:numId w:val="2"/>
      </w:numPr>
      <w:jc w:val="center"/>
      <w:textAlignment w:val="baseline"/>
    </w:pPr>
    <w:rPr>
      <w:rFonts w:ascii="黑体" w:hAnsi="Times New Roman" w:eastAsia="黑体" w:cs="黑体"/>
      <w:kern w:val="21"/>
      <w:sz w:val="21"/>
      <w:szCs w:val="21"/>
      <w:lang w:val="en-US" w:eastAsia="zh-CN" w:bidi="ar-SA"/>
    </w:rPr>
  </w:style>
  <w:style w:type="paragraph" w:customStyle="1" w:styleId="89">
    <w:name w:val="附录章标题"/>
    <w:next w:val="72"/>
    <w:qFormat/>
    <w:uiPriority w:val="99"/>
    <w:pPr>
      <w:tabs>
        <w:tab w:val="left" w:pos="840"/>
      </w:tabs>
      <w:wordWrap w:val="0"/>
      <w:overflowPunct w:val="0"/>
      <w:autoSpaceDE w:val="0"/>
      <w:spacing w:beforeLines="50" w:afterLines="50"/>
      <w:ind w:left="840" w:hanging="420"/>
      <w:jc w:val="both"/>
      <w:textAlignment w:val="baseline"/>
      <w:outlineLvl w:val="1"/>
    </w:pPr>
    <w:rPr>
      <w:rFonts w:ascii="黑体" w:hAnsi="Times New Roman" w:eastAsia="黑体" w:cs="黑体"/>
      <w:kern w:val="21"/>
      <w:sz w:val="21"/>
      <w:szCs w:val="21"/>
      <w:lang w:val="en-US" w:eastAsia="zh-CN" w:bidi="ar-SA"/>
    </w:rPr>
  </w:style>
  <w:style w:type="paragraph" w:customStyle="1" w:styleId="90">
    <w:name w:val="附录一级条标题"/>
    <w:basedOn w:val="89"/>
    <w:next w:val="72"/>
    <w:qFormat/>
    <w:uiPriority w:val="99"/>
    <w:pPr>
      <w:numPr>
        <w:ilvl w:val="1"/>
        <w:numId w:val="3"/>
      </w:numPr>
      <w:autoSpaceDN w:val="0"/>
      <w:spacing w:beforeLines="0" w:afterLines="0"/>
      <w:ind w:left="0" w:firstLine="0"/>
      <w:outlineLvl w:val="2"/>
    </w:pPr>
  </w:style>
  <w:style w:type="paragraph" w:customStyle="1" w:styleId="91">
    <w:name w:val="附录二级条标题"/>
    <w:basedOn w:val="90"/>
    <w:next w:val="72"/>
    <w:qFormat/>
    <w:uiPriority w:val="99"/>
    <w:pPr>
      <w:numPr>
        <w:ilvl w:val="2"/>
      </w:numPr>
      <w:outlineLvl w:val="3"/>
    </w:pPr>
  </w:style>
  <w:style w:type="paragraph" w:customStyle="1" w:styleId="92">
    <w:name w:val="附录三级条标题"/>
    <w:basedOn w:val="91"/>
    <w:next w:val="72"/>
    <w:qFormat/>
    <w:uiPriority w:val="99"/>
    <w:pPr>
      <w:numPr>
        <w:ilvl w:val="3"/>
      </w:numPr>
      <w:outlineLvl w:val="4"/>
    </w:pPr>
  </w:style>
  <w:style w:type="paragraph" w:customStyle="1" w:styleId="93">
    <w:name w:val="附录四级条标题"/>
    <w:basedOn w:val="92"/>
    <w:next w:val="72"/>
    <w:qFormat/>
    <w:uiPriority w:val="99"/>
    <w:pPr>
      <w:numPr>
        <w:ilvl w:val="4"/>
      </w:numPr>
      <w:outlineLvl w:val="5"/>
    </w:pPr>
  </w:style>
  <w:style w:type="paragraph" w:customStyle="1" w:styleId="94">
    <w:name w:val="附录图标题"/>
    <w:next w:val="72"/>
    <w:qFormat/>
    <w:uiPriority w:val="99"/>
    <w:pPr>
      <w:numPr>
        <w:ilvl w:val="0"/>
        <w:numId w:val="4"/>
      </w:numPr>
      <w:jc w:val="center"/>
    </w:pPr>
    <w:rPr>
      <w:rFonts w:ascii="黑体" w:hAnsi="Times New Roman" w:eastAsia="黑体" w:cs="黑体"/>
      <w:sz w:val="21"/>
      <w:szCs w:val="21"/>
      <w:lang w:val="en-US" w:eastAsia="zh-CN" w:bidi="ar-SA"/>
    </w:rPr>
  </w:style>
  <w:style w:type="paragraph" w:customStyle="1" w:styleId="95">
    <w:name w:val="附录五级条标题"/>
    <w:basedOn w:val="93"/>
    <w:next w:val="72"/>
    <w:qFormat/>
    <w:uiPriority w:val="99"/>
    <w:pPr>
      <w:numPr>
        <w:ilvl w:val="0"/>
        <w:numId w:val="0"/>
      </w:numPr>
      <w:tabs>
        <w:tab w:val="left" w:pos="3360"/>
      </w:tabs>
      <w:ind w:left="3360" w:hanging="420"/>
      <w:outlineLvl w:val="6"/>
    </w:pPr>
  </w:style>
  <w:style w:type="character" w:customStyle="1" w:styleId="96">
    <w:name w:val="个人答复风格"/>
    <w:qFormat/>
    <w:uiPriority w:val="99"/>
    <w:rPr>
      <w:rFonts w:ascii="Arial" w:hAnsi="Arial" w:eastAsia="宋体"/>
      <w:color w:val="auto"/>
      <w:sz w:val="20"/>
    </w:rPr>
  </w:style>
  <w:style w:type="character" w:customStyle="1" w:styleId="97">
    <w:name w:val="个人撰写风格"/>
    <w:qFormat/>
    <w:uiPriority w:val="99"/>
    <w:rPr>
      <w:rFonts w:ascii="Arial" w:hAnsi="Arial" w:eastAsia="宋体"/>
      <w:color w:val="auto"/>
      <w:sz w:val="20"/>
    </w:rPr>
  </w:style>
  <w:style w:type="character" w:customStyle="1" w:styleId="98">
    <w:name w:val="脚注文本 字符"/>
    <w:link w:val="26"/>
    <w:semiHidden/>
    <w:qFormat/>
    <w:locked/>
    <w:uiPriority w:val="99"/>
    <w:rPr>
      <w:rFonts w:cs="Times New Roman"/>
      <w:sz w:val="18"/>
    </w:rPr>
  </w:style>
  <w:style w:type="paragraph" w:customStyle="1" w:styleId="99">
    <w:name w:val="列项——（一级）"/>
    <w:qFormat/>
    <w:uiPriority w:val="99"/>
    <w:pPr>
      <w:widowControl w:val="0"/>
      <w:numPr>
        <w:ilvl w:val="0"/>
        <w:numId w:val="5"/>
      </w:numPr>
      <w:tabs>
        <w:tab w:val="left" w:pos="854"/>
        <w:tab w:val="clear" w:pos="1140"/>
      </w:tabs>
      <w:ind w:left="200" w:leftChars="200" w:hanging="200" w:hangingChars="200"/>
      <w:jc w:val="both"/>
    </w:pPr>
    <w:rPr>
      <w:rFonts w:ascii="宋体" w:hAnsi="Times New Roman" w:eastAsia="宋体" w:cs="宋体"/>
      <w:sz w:val="21"/>
      <w:szCs w:val="21"/>
      <w:lang w:val="en-US" w:eastAsia="zh-CN" w:bidi="ar-SA"/>
    </w:rPr>
  </w:style>
  <w:style w:type="paragraph" w:customStyle="1" w:styleId="100">
    <w:name w:val="列项●（二级）"/>
    <w:qFormat/>
    <w:uiPriority w:val="99"/>
    <w:pPr>
      <w:numPr>
        <w:ilvl w:val="0"/>
        <w:numId w:val="6"/>
      </w:numPr>
      <w:tabs>
        <w:tab w:val="left" w:pos="840"/>
      </w:tabs>
      <w:ind w:left="600" w:leftChars="400" w:hanging="200" w:hangingChars="200"/>
      <w:jc w:val="both"/>
    </w:pPr>
    <w:rPr>
      <w:rFonts w:ascii="宋体" w:hAnsi="Times New Roman" w:eastAsia="宋体" w:cs="宋体"/>
      <w:sz w:val="21"/>
      <w:szCs w:val="21"/>
      <w:lang w:val="en-US" w:eastAsia="zh-CN" w:bidi="ar-SA"/>
    </w:rPr>
  </w:style>
  <w:style w:type="paragraph" w:customStyle="1" w:styleId="101">
    <w:name w:val="目次、标准名称标题"/>
    <w:basedOn w:val="68"/>
    <w:next w:val="72"/>
    <w:qFormat/>
    <w:uiPriority w:val="99"/>
    <w:pPr>
      <w:numPr>
        <w:numId w:val="0"/>
      </w:numPr>
      <w:spacing w:line="460" w:lineRule="exact"/>
    </w:pPr>
  </w:style>
  <w:style w:type="paragraph" w:customStyle="1" w:styleId="102">
    <w:name w:val="目次、索引正文"/>
    <w:qFormat/>
    <w:uiPriority w:val="99"/>
    <w:pPr>
      <w:spacing w:line="320" w:lineRule="exact"/>
      <w:jc w:val="both"/>
    </w:pPr>
    <w:rPr>
      <w:rFonts w:ascii="宋体" w:hAnsi="Times New Roman" w:eastAsia="宋体" w:cs="宋体"/>
      <w:sz w:val="21"/>
      <w:szCs w:val="21"/>
      <w:lang w:val="en-US" w:eastAsia="zh-CN" w:bidi="ar-SA"/>
    </w:rPr>
  </w:style>
  <w:style w:type="paragraph" w:customStyle="1" w:styleId="103">
    <w:name w:val="其他标准称谓"/>
    <w:qFormat/>
    <w:uiPriority w:val="99"/>
    <w:pPr>
      <w:spacing w:line="240" w:lineRule="atLeast"/>
      <w:jc w:val="distribute"/>
    </w:pPr>
    <w:rPr>
      <w:rFonts w:ascii="黑体" w:hAnsi="宋体" w:eastAsia="黑体" w:cs="黑体"/>
      <w:sz w:val="52"/>
      <w:szCs w:val="52"/>
      <w:lang w:val="en-US" w:eastAsia="zh-CN" w:bidi="ar-SA"/>
    </w:rPr>
  </w:style>
  <w:style w:type="paragraph" w:customStyle="1" w:styleId="104">
    <w:name w:val="其他发布部门"/>
    <w:basedOn w:val="76"/>
    <w:qFormat/>
    <w:uiPriority w:val="99"/>
    <w:pPr>
      <w:framePr w:wrap="around"/>
      <w:spacing w:line="240" w:lineRule="atLeast"/>
    </w:pPr>
    <w:rPr>
      <w:rFonts w:ascii="黑体" w:eastAsia="黑体" w:cs="黑体"/>
      <w:b w:val="0"/>
      <w:bCs w:val="0"/>
    </w:rPr>
  </w:style>
  <w:style w:type="paragraph" w:customStyle="1" w:styleId="105">
    <w:name w:val="三级条标题"/>
    <w:basedOn w:val="74"/>
    <w:next w:val="72"/>
    <w:qFormat/>
    <w:uiPriority w:val="99"/>
    <w:pPr>
      <w:numPr>
        <w:ilvl w:val="0"/>
        <w:numId w:val="0"/>
      </w:numPr>
      <w:outlineLvl w:val="4"/>
    </w:pPr>
  </w:style>
  <w:style w:type="paragraph" w:customStyle="1" w:styleId="106">
    <w:name w:val="实施日期"/>
    <w:basedOn w:val="77"/>
    <w:qFormat/>
    <w:uiPriority w:val="99"/>
    <w:pPr>
      <w:framePr w:hSpace="0" w:wrap="around" w:xAlign="right"/>
      <w:numPr>
        <w:ilvl w:val="4"/>
        <w:numId w:val="1"/>
      </w:numPr>
      <w:jc w:val="right"/>
    </w:pPr>
  </w:style>
  <w:style w:type="paragraph" w:customStyle="1" w:styleId="107">
    <w:name w:val="示例"/>
    <w:next w:val="72"/>
    <w:qFormat/>
    <w:uiPriority w:val="99"/>
    <w:pPr>
      <w:tabs>
        <w:tab w:val="left" w:pos="816"/>
      </w:tabs>
      <w:ind w:firstLine="419" w:firstLineChars="233"/>
      <w:jc w:val="both"/>
    </w:pPr>
    <w:rPr>
      <w:rFonts w:ascii="宋体" w:hAnsi="Times New Roman" w:eastAsia="宋体" w:cs="宋体"/>
      <w:sz w:val="18"/>
      <w:szCs w:val="18"/>
      <w:lang w:val="en-US" w:eastAsia="zh-CN" w:bidi="ar-SA"/>
    </w:rPr>
  </w:style>
  <w:style w:type="paragraph" w:customStyle="1" w:styleId="108">
    <w:name w:val="数字编号列项（二级）"/>
    <w:qFormat/>
    <w:uiPriority w:val="99"/>
    <w:pPr>
      <w:ind w:left="1260" w:leftChars="400" w:hanging="420" w:hangingChars="200"/>
      <w:jc w:val="both"/>
    </w:pPr>
    <w:rPr>
      <w:rFonts w:ascii="宋体" w:hAnsi="Times New Roman" w:eastAsia="宋体" w:cs="宋体"/>
      <w:sz w:val="21"/>
      <w:szCs w:val="21"/>
      <w:lang w:val="en-US" w:eastAsia="zh-CN" w:bidi="ar-SA"/>
    </w:rPr>
  </w:style>
  <w:style w:type="paragraph" w:customStyle="1" w:styleId="109">
    <w:name w:val="四级条标题"/>
    <w:basedOn w:val="105"/>
    <w:next w:val="72"/>
    <w:qFormat/>
    <w:uiPriority w:val="99"/>
    <w:pPr>
      <w:numPr>
        <w:numId w:val="7"/>
      </w:numPr>
      <w:tabs>
        <w:tab w:val="left" w:pos="1120"/>
      </w:tabs>
      <w:ind w:firstLine="0"/>
      <w:outlineLvl w:val="5"/>
    </w:pPr>
  </w:style>
  <w:style w:type="paragraph" w:customStyle="1" w:styleId="110">
    <w:name w:val="条文脚注"/>
    <w:basedOn w:val="26"/>
    <w:qFormat/>
    <w:uiPriority w:val="99"/>
    <w:pPr>
      <w:ind w:left="780" w:leftChars="200" w:hanging="360" w:hangingChars="200"/>
      <w:jc w:val="both"/>
    </w:pPr>
    <w:rPr>
      <w:rFonts w:ascii="宋体" w:cs="宋体"/>
    </w:rPr>
  </w:style>
  <w:style w:type="paragraph" w:customStyle="1" w:styleId="111">
    <w:name w:val="图表脚注"/>
    <w:next w:val="72"/>
    <w:qFormat/>
    <w:uiPriority w:val="99"/>
    <w:pPr>
      <w:numPr>
        <w:ilvl w:val="5"/>
        <w:numId w:val="1"/>
      </w:numPr>
      <w:jc w:val="both"/>
    </w:pPr>
    <w:rPr>
      <w:rFonts w:ascii="宋体" w:hAnsi="Times New Roman" w:eastAsia="宋体" w:cs="宋体"/>
      <w:sz w:val="18"/>
      <w:szCs w:val="18"/>
      <w:lang w:val="en-US" w:eastAsia="zh-CN" w:bidi="ar-SA"/>
    </w:rPr>
  </w:style>
  <w:style w:type="paragraph" w:customStyle="1" w:styleId="112">
    <w:name w:val="文献分类号"/>
    <w:qFormat/>
    <w:uiPriority w:val="99"/>
    <w:pPr>
      <w:framePr w:hSpace="180" w:vSpace="180" w:wrap="around" w:vAnchor="margin" w:hAnchor="margin" w:y="1" w:anchorLock="1"/>
      <w:widowControl w:val="0"/>
      <w:textAlignment w:val="center"/>
    </w:pPr>
    <w:rPr>
      <w:rFonts w:ascii="Times New Roman" w:hAnsi="Times New Roman" w:eastAsia="黑体" w:cs="Times New Roman"/>
      <w:sz w:val="21"/>
      <w:szCs w:val="21"/>
      <w:lang w:val="en-US" w:eastAsia="zh-CN" w:bidi="ar-SA"/>
    </w:rPr>
  </w:style>
  <w:style w:type="paragraph" w:customStyle="1" w:styleId="113">
    <w:name w:val="五级条标题"/>
    <w:basedOn w:val="109"/>
    <w:next w:val="72"/>
    <w:qFormat/>
    <w:uiPriority w:val="99"/>
    <w:pPr>
      <w:numPr>
        <w:numId w:val="0"/>
      </w:numPr>
      <w:tabs>
        <w:tab w:val="left" w:pos="3360"/>
      </w:tabs>
      <w:ind w:left="3360" w:hanging="420"/>
      <w:outlineLvl w:val="6"/>
    </w:pPr>
  </w:style>
  <w:style w:type="character" w:customStyle="1" w:styleId="114">
    <w:name w:val="页脚 字符"/>
    <w:link w:val="24"/>
    <w:semiHidden/>
    <w:qFormat/>
    <w:locked/>
    <w:uiPriority w:val="99"/>
    <w:rPr>
      <w:rFonts w:cs="Times New Roman"/>
      <w:sz w:val="18"/>
    </w:rPr>
  </w:style>
  <w:style w:type="character" w:customStyle="1" w:styleId="115">
    <w:name w:val="页眉 字符"/>
    <w:link w:val="25"/>
    <w:qFormat/>
    <w:locked/>
    <w:uiPriority w:val="99"/>
    <w:rPr>
      <w:rFonts w:cs="Times New Roman"/>
      <w:kern w:val="2"/>
      <w:sz w:val="18"/>
    </w:rPr>
  </w:style>
  <w:style w:type="paragraph" w:customStyle="1" w:styleId="116">
    <w:name w:val="正文表标题"/>
    <w:next w:val="72"/>
    <w:qFormat/>
    <w:uiPriority w:val="99"/>
    <w:pPr>
      <w:jc w:val="center"/>
    </w:pPr>
    <w:rPr>
      <w:rFonts w:ascii="黑体" w:hAnsi="Times New Roman" w:eastAsia="黑体" w:cs="黑体"/>
      <w:sz w:val="21"/>
      <w:szCs w:val="21"/>
      <w:lang w:val="en-US" w:eastAsia="zh-CN" w:bidi="ar-SA"/>
    </w:rPr>
  </w:style>
  <w:style w:type="paragraph" w:customStyle="1" w:styleId="117">
    <w:name w:val="正文图标题"/>
    <w:next w:val="72"/>
    <w:qFormat/>
    <w:uiPriority w:val="99"/>
    <w:pPr>
      <w:jc w:val="center"/>
    </w:pPr>
    <w:rPr>
      <w:rFonts w:ascii="黑体" w:hAnsi="Times New Roman" w:eastAsia="黑体" w:cs="黑体"/>
      <w:sz w:val="21"/>
      <w:szCs w:val="21"/>
      <w:lang w:val="en-US" w:eastAsia="zh-CN" w:bidi="ar-SA"/>
    </w:rPr>
  </w:style>
  <w:style w:type="paragraph" w:customStyle="1" w:styleId="118">
    <w:name w:val="注："/>
    <w:next w:val="72"/>
    <w:qFormat/>
    <w:uiPriority w:val="99"/>
    <w:pPr>
      <w:widowControl w:val="0"/>
      <w:autoSpaceDE w:val="0"/>
      <w:autoSpaceDN w:val="0"/>
      <w:ind w:left="420" w:hanging="420"/>
      <w:jc w:val="both"/>
    </w:pPr>
    <w:rPr>
      <w:rFonts w:ascii="宋体" w:hAnsi="Times New Roman" w:eastAsia="宋体" w:cs="宋体"/>
      <w:sz w:val="18"/>
      <w:szCs w:val="18"/>
      <w:lang w:val="en-US" w:eastAsia="zh-CN" w:bidi="ar-SA"/>
    </w:rPr>
  </w:style>
  <w:style w:type="paragraph" w:customStyle="1" w:styleId="119">
    <w:name w:val="注×："/>
    <w:qFormat/>
    <w:uiPriority w:val="99"/>
    <w:pPr>
      <w:widowControl w:val="0"/>
      <w:tabs>
        <w:tab w:val="left" w:pos="630"/>
      </w:tabs>
      <w:autoSpaceDE w:val="0"/>
      <w:autoSpaceDN w:val="0"/>
      <w:ind w:left="420" w:hanging="420"/>
      <w:jc w:val="both"/>
    </w:pPr>
    <w:rPr>
      <w:rFonts w:ascii="宋体" w:hAnsi="Times New Roman" w:eastAsia="宋体" w:cs="宋体"/>
      <w:sz w:val="18"/>
      <w:szCs w:val="18"/>
      <w:lang w:val="en-US" w:eastAsia="zh-CN" w:bidi="ar-SA"/>
    </w:rPr>
  </w:style>
  <w:style w:type="paragraph" w:customStyle="1" w:styleId="120">
    <w:name w:val="字母编号列项（一级）"/>
    <w:qFormat/>
    <w:uiPriority w:val="99"/>
    <w:pPr>
      <w:ind w:left="840" w:leftChars="200" w:hanging="420" w:hangingChars="200"/>
      <w:jc w:val="both"/>
    </w:pPr>
    <w:rPr>
      <w:rFonts w:ascii="宋体" w:hAnsi="Times New Roman" w:eastAsia="宋体" w:cs="宋体"/>
      <w:sz w:val="21"/>
      <w:szCs w:val="21"/>
      <w:lang w:val="en-US" w:eastAsia="zh-CN" w:bidi="ar-SA"/>
    </w:rPr>
  </w:style>
  <w:style w:type="paragraph" w:customStyle="1" w:styleId="121">
    <w:name w:val="列项◆（三级）"/>
    <w:qFormat/>
    <w:uiPriority w:val="99"/>
    <w:pPr>
      <w:numPr>
        <w:ilvl w:val="0"/>
        <w:numId w:val="8"/>
      </w:numPr>
      <w:ind w:left="800" w:leftChars="600" w:hanging="200" w:hangingChars="200"/>
    </w:pPr>
    <w:rPr>
      <w:rFonts w:ascii="宋体" w:hAnsi="Times New Roman" w:eastAsia="宋体" w:cs="宋体"/>
      <w:sz w:val="21"/>
      <w:szCs w:val="21"/>
      <w:lang w:val="en-US" w:eastAsia="zh-CN" w:bidi="ar-SA"/>
    </w:rPr>
  </w:style>
  <w:style w:type="paragraph" w:customStyle="1" w:styleId="122">
    <w:name w:val="编号列项（三级）"/>
    <w:qFormat/>
    <w:uiPriority w:val="99"/>
    <w:pPr>
      <w:numPr>
        <w:ilvl w:val="0"/>
        <w:numId w:val="9"/>
      </w:numPr>
      <w:tabs>
        <w:tab w:val="clear" w:pos="1140"/>
      </w:tabs>
      <w:ind w:left="800" w:leftChars="600" w:hanging="200" w:hangingChars="200"/>
    </w:pPr>
    <w:rPr>
      <w:rFonts w:ascii="宋体" w:hAnsi="Times New Roman" w:eastAsia="宋体" w:cs="宋体"/>
      <w:sz w:val="21"/>
      <w:szCs w:val="21"/>
      <w:lang w:val="en-US" w:eastAsia="zh-CN" w:bidi="ar-SA"/>
    </w:rPr>
  </w:style>
  <w:style w:type="character" w:customStyle="1" w:styleId="123">
    <w:name w:val="段 Char Char"/>
    <w:link w:val="70"/>
    <w:qFormat/>
    <w:locked/>
    <w:uiPriority w:val="99"/>
    <w:rPr>
      <w:rFonts w:ascii="宋体"/>
      <w:kern w:val="2"/>
      <w:sz w:val="22"/>
      <w:lang w:val="en-US" w:eastAsia="zh-CN"/>
    </w:rPr>
  </w:style>
  <w:style w:type="character" w:customStyle="1" w:styleId="124">
    <w:name w:val="批注框文本 字符"/>
    <w:link w:val="23"/>
    <w:semiHidden/>
    <w:qFormat/>
    <w:locked/>
    <w:uiPriority w:val="99"/>
    <w:rPr>
      <w:rFonts w:cs="Times New Roman"/>
      <w:sz w:val="2"/>
    </w:rPr>
  </w:style>
  <w:style w:type="paragraph" w:customStyle="1" w:styleId="125">
    <w:name w:val="20"/>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26">
    <w:name w:val="19"/>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27">
    <w:name w:val="Char Char Char Char Char Char"/>
    <w:basedOn w:val="1"/>
    <w:qFormat/>
    <w:uiPriority w:val="99"/>
  </w:style>
  <w:style w:type="paragraph" w:customStyle="1" w:styleId="128">
    <w:name w:val="18"/>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29">
    <w:name w:val="17"/>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30">
    <w:name w:val="16"/>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31">
    <w:name w:val="15"/>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32">
    <w:name w:val="14"/>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33">
    <w:name w:val="13"/>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34">
    <w:name w:val="12"/>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35">
    <w:name w:val="1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36">
    <w:name w:val="10"/>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37">
    <w:name w:val="9"/>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38">
    <w:name w:val="8"/>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39">
    <w:name w:val="7"/>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40">
    <w:name w:val="6"/>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41">
    <w:name w:val="5"/>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42">
    <w:name w:val="4"/>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43">
    <w:name w:val="3"/>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44">
    <w:name w:val="Char Char"/>
    <w:basedOn w:val="1"/>
    <w:qFormat/>
    <w:uiPriority w:val="99"/>
  </w:style>
  <w:style w:type="paragraph" w:customStyle="1" w:styleId="145">
    <w:name w:val="2"/>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46">
    <w:name w:val="段 Char Char Char"/>
    <w:link w:val="147"/>
    <w:qFormat/>
    <w:uiPriority w:val="99"/>
    <w:pPr>
      <w:autoSpaceDE w:val="0"/>
      <w:autoSpaceDN w:val="0"/>
      <w:ind w:firstLine="200" w:firstLineChars="200"/>
      <w:jc w:val="both"/>
    </w:pPr>
    <w:rPr>
      <w:rFonts w:ascii="宋体" w:hAnsi="Times New Roman" w:eastAsia="宋体" w:cs="Times New Roman"/>
      <w:kern w:val="2"/>
      <w:sz w:val="24"/>
      <w:szCs w:val="22"/>
      <w:lang w:val="en-US" w:eastAsia="zh-CN" w:bidi="ar-SA"/>
    </w:rPr>
  </w:style>
  <w:style w:type="character" w:customStyle="1" w:styleId="147">
    <w:name w:val="段 Char Char Char Char"/>
    <w:link w:val="146"/>
    <w:qFormat/>
    <w:locked/>
    <w:uiPriority w:val="99"/>
    <w:rPr>
      <w:rFonts w:ascii="宋体"/>
      <w:kern w:val="2"/>
      <w:sz w:val="22"/>
      <w:lang w:val="en-US" w:eastAsia="zh-CN"/>
    </w:rPr>
  </w:style>
  <w:style w:type="paragraph" w:customStyle="1" w:styleId="148">
    <w:name w:val="Char Char Char"/>
    <w:basedOn w:val="1"/>
    <w:qFormat/>
    <w:uiPriority w:val="99"/>
  </w:style>
  <w:style w:type="paragraph" w:customStyle="1" w:styleId="149">
    <w:name w:val="1"/>
    <w:qFormat/>
    <w:uiPriority w:val="99"/>
    <w:pPr>
      <w:widowControl w:val="0"/>
      <w:jc w:val="both"/>
    </w:pPr>
    <w:rPr>
      <w:rFonts w:ascii="Times New Roman" w:hAnsi="Times New Roman" w:eastAsia="宋体" w:cs="Times New Roman"/>
      <w:kern w:val="2"/>
      <w:sz w:val="21"/>
      <w:szCs w:val="21"/>
      <w:lang w:val="en-US" w:eastAsia="zh-CN" w:bidi="ar-SA"/>
    </w:rPr>
  </w:style>
  <w:style w:type="paragraph" w:styleId="150">
    <w:name w:val="List Paragraph"/>
    <w:basedOn w:val="1"/>
    <w:qFormat/>
    <w:uiPriority w:val="99"/>
    <w:pPr>
      <w:ind w:firstLine="420" w:firstLineChars="200"/>
    </w:pPr>
  </w:style>
  <w:style w:type="character" w:customStyle="1" w:styleId="151">
    <w:name w:val="批注文字 字符"/>
    <w:link w:val="19"/>
    <w:qFormat/>
    <w:locked/>
    <w:uiPriority w:val="99"/>
    <w:rPr>
      <w:rFonts w:cs="Times New Roman"/>
      <w:kern w:val="2"/>
      <w:sz w:val="24"/>
    </w:rPr>
  </w:style>
  <w:style w:type="character" w:customStyle="1" w:styleId="152">
    <w:name w:val="批注主题 字符"/>
    <w:link w:val="31"/>
    <w:qFormat/>
    <w:locked/>
    <w:uiPriority w:val="99"/>
    <w:rPr>
      <w:rFonts w:cs="Times New Roman"/>
      <w:b/>
      <w:kern w:val="2"/>
      <w:sz w:val="24"/>
    </w:rPr>
  </w:style>
  <w:style w:type="paragraph" w:customStyle="1" w:styleId="153">
    <w:name w:val="段 Char Char Char Char Char Char Char Char"/>
    <w:link w:val="154"/>
    <w:qFormat/>
    <w:uiPriority w:val="99"/>
    <w:pPr>
      <w:autoSpaceDE w:val="0"/>
      <w:autoSpaceDN w:val="0"/>
      <w:ind w:firstLine="200" w:firstLineChars="200"/>
      <w:jc w:val="both"/>
    </w:pPr>
    <w:rPr>
      <w:rFonts w:ascii="宋体" w:hAnsi="Times New Roman" w:eastAsia="宋体" w:cs="Times New Roman"/>
      <w:kern w:val="2"/>
      <w:sz w:val="24"/>
      <w:szCs w:val="22"/>
      <w:lang w:val="en-US" w:eastAsia="zh-CN" w:bidi="ar-SA"/>
    </w:rPr>
  </w:style>
  <w:style w:type="character" w:customStyle="1" w:styleId="154">
    <w:name w:val="段 Char Char Char Char Char Char Char Char Char"/>
    <w:link w:val="153"/>
    <w:qFormat/>
    <w:locked/>
    <w:uiPriority w:val="99"/>
    <w:rPr>
      <w:rFonts w:ascii="宋体"/>
      <w:kern w:val="2"/>
      <w:sz w:val="22"/>
      <w:lang w:val="en-US" w:eastAsia="zh-CN"/>
    </w:rPr>
  </w:style>
  <w:style w:type="paragraph" w:customStyle="1" w:styleId="155">
    <w:name w:val="终结线"/>
    <w:basedOn w:val="1"/>
    <w:qFormat/>
    <w:uiPriority w:val="99"/>
    <w:pPr>
      <w:framePr w:hSpace="181" w:vSpace="181" w:wrap="around" w:vAnchor="text" w:hAnchor="margin" w:xAlign="center" w:y="285"/>
    </w:pPr>
  </w:style>
  <w:style w:type="character" w:customStyle="1" w:styleId="156">
    <w:name w:val="文档结构图 字符"/>
    <w:link w:val="18"/>
    <w:qFormat/>
    <w:locked/>
    <w:uiPriority w:val="99"/>
    <w:rPr>
      <w:rFonts w:ascii="宋体" w:cs="Times New Roman"/>
      <w:kern w:val="2"/>
      <w:sz w:val="18"/>
    </w:rPr>
  </w:style>
  <w:style w:type="character" w:customStyle="1" w:styleId="157">
    <w:name w:val="t"/>
    <w:qFormat/>
    <w:uiPriority w:val="99"/>
    <w:rPr>
      <w:rFonts w:cs="Times New Roman"/>
    </w:rPr>
  </w:style>
  <w:style w:type="paragraph" w:customStyle="1" w:styleId="158">
    <w:name w:val="pic-info"/>
    <w:basedOn w:val="1"/>
    <w:qFormat/>
    <w:uiPriority w:val="99"/>
    <w:pPr>
      <w:widowControl/>
      <w:spacing w:before="100" w:beforeAutospacing="1" w:after="100" w:afterAutospacing="1"/>
      <w:jc w:val="left"/>
    </w:pPr>
    <w:rPr>
      <w:rFonts w:ascii="宋体" w:hAnsi="宋体" w:cs="宋体"/>
      <w:kern w:val="0"/>
      <w:sz w:val="24"/>
      <w:szCs w:val="24"/>
    </w:rPr>
  </w:style>
  <w:style w:type="character" w:customStyle="1" w:styleId="159">
    <w:name w:val="apple-converted-space"/>
    <w:qFormat/>
    <w:uiPriority w:val="99"/>
    <w:rPr>
      <w:rFonts w:cs="Times New Roman"/>
    </w:rPr>
  </w:style>
  <w:style w:type="paragraph" w:customStyle="1" w:styleId="160">
    <w:name w:val="附录一级无"/>
    <w:basedOn w:val="90"/>
    <w:qFormat/>
    <w:uiPriority w:val="99"/>
    <w:pPr>
      <w:numPr>
        <w:ilvl w:val="2"/>
        <w:numId w:val="10"/>
      </w:numPr>
    </w:pPr>
    <w:rPr>
      <w:rFonts w:ascii="宋体" w:eastAsia="宋体" w:cs="宋体"/>
    </w:rPr>
  </w:style>
  <w:style w:type="character" w:styleId="161">
    <w:name w:val="Placeholder Text"/>
    <w:semiHidden/>
    <w:qFormat/>
    <w:uiPriority w:val="99"/>
    <w:rPr>
      <w:rFonts w:cs="Times New Roman"/>
      <w:color w:val="808080"/>
    </w:rPr>
  </w:style>
  <w:style w:type="character" w:customStyle="1" w:styleId="162">
    <w:name w:val="日期 字符"/>
    <w:link w:val="22"/>
    <w:qFormat/>
    <w:locked/>
    <w:uiPriority w:val="99"/>
    <w:rPr>
      <w:rFonts w:cs="Times New Roman"/>
      <w:kern w:val="2"/>
      <w:sz w:val="24"/>
    </w:rPr>
  </w:style>
  <w:style w:type="paragraph" w:customStyle="1" w:styleId="163">
    <w:name w:val="图表内容"/>
    <w:basedOn w:val="1"/>
    <w:qFormat/>
    <w:uiPriority w:val="99"/>
    <w:pPr>
      <w:jc w:val="center"/>
    </w:pPr>
    <w:rPr>
      <w:szCs w:val="24"/>
    </w:rPr>
  </w:style>
  <w:style w:type="paragraph" w:customStyle="1" w:styleId="164">
    <w:name w:val="列出段落1"/>
    <w:basedOn w:val="1"/>
    <w:qFormat/>
    <w:uiPriority w:val="99"/>
    <w:pPr>
      <w:ind w:firstLine="420" w:firstLineChars="200"/>
    </w:pPr>
  </w:style>
  <w:style w:type="character" w:customStyle="1" w:styleId="165">
    <w:name w:val="占位符文本1"/>
    <w:semiHidden/>
    <w:qFormat/>
    <w:uiPriority w:val="99"/>
    <w:rPr>
      <w:color w:val="808080"/>
    </w:rPr>
  </w:style>
  <w:style w:type="paragraph" w:customStyle="1" w:styleId="166">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67">
    <w:name w:val="列出段落11"/>
    <w:basedOn w:val="1"/>
    <w:qFormat/>
    <w:uiPriority w:val="99"/>
    <w:pPr>
      <w:ind w:firstLine="420" w:firstLineChars="200"/>
    </w:pPr>
  </w:style>
  <w:style w:type="character" w:customStyle="1" w:styleId="168">
    <w:name w:val="占位符文本11"/>
    <w:semiHidden/>
    <w:qFormat/>
    <w:uiPriority w:val="99"/>
    <w:rPr>
      <w:color w:val="808080"/>
    </w:rPr>
  </w:style>
  <w:style w:type="paragraph" w:customStyle="1" w:styleId="169">
    <w:name w:val="编号吧"/>
    <w:basedOn w:val="1"/>
    <w:next w:val="1"/>
    <w:qFormat/>
    <w:uiPriority w:val="0"/>
    <w:pPr>
      <w:tabs>
        <w:tab w:val="center" w:pos="4620"/>
        <w:tab w:val="right" w:pos="9240"/>
      </w:tabs>
      <w:textAlignment w:val="center"/>
    </w:pPr>
    <w:rPr>
      <w:rFonts w:eastAsia="Times New Roman"/>
    </w:rPr>
  </w:style>
  <w:style w:type="character" w:customStyle="1" w:styleId="170">
    <w:name w:val="font21"/>
    <w:qFormat/>
    <w:uiPriority w:val="0"/>
    <w:rPr>
      <w:rFonts w:hint="default" w:ascii="等线" w:hAnsi="等线" w:eastAsia="等线" w:cs="等线"/>
      <w:color w:val="000000"/>
      <w:sz w:val="28"/>
      <w:szCs w:val="28"/>
      <w:u w:val="none"/>
    </w:rPr>
  </w:style>
  <w:style w:type="character" w:customStyle="1" w:styleId="171">
    <w:name w:val="font11"/>
    <w:qFormat/>
    <w:uiPriority w:val="0"/>
    <w:rPr>
      <w:rFonts w:hint="default" w:ascii="等线" w:hAnsi="等线" w:eastAsia="等线" w:cs="等线"/>
      <w:color w:val="FF0000"/>
      <w:sz w:val="28"/>
      <w:szCs w:val="28"/>
      <w:u w:val="none"/>
    </w:rPr>
  </w:style>
  <w:style w:type="paragraph" w:customStyle="1" w:styleId="172">
    <w:name w:val="WPSOffice手动目录 1"/>
    <w:qFormat/>
    <w:uiPriority w:val="0"/>
    <w:rPr>
      <w:rFonts w:ascii="Times New Roman" w:hAnsi="Times New Roman" w:eastAsia="宋体" w:cs="Times New Roman"/>
      <w:lang w:val="en-US" w:eastAsia="zh-CN" w:bidi="ar-SA"/>
    </w:rPr>
  </w:style>
  <w:style w:type="character" w:customStyle="1" w:styleId="173">
    <w:name w:val="一级条标题 Char"/>
    <w:link w:val="73"/>
    <w:qFormat/>
    <w:uiPriority w:val="99"/>
    <w:rPr>
      <w:rFonts w:ascii="Times New Roman" w:hAnsi="Times New Roman" w:eastAsia="黑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1" Type="http://schemas.microsoft.com/office/2011/relationships/people" Target="people.xml"/><Relationship Id="rId80" Type="http://schemas.openxmlformats.org/officeDocument/2006/relationships/fontTable" Target="fontTable.xml"/><Relationship Id="rId8" Type="http://schemas.openxmlformats.org/officeDocument/2006/relationships/header" Target="header4.xml"/><Relationship Id="rId79" Type="http://schemas.openxmlformats.org/officeDocument/2006/relationships/numbering" Target="numbering.xml"/><Relationship Id="rId78" Type="http://schemas.openxmlformats.org/officeDocument/2006/relationships/customXml" Target="../customXml/item1.xml"/><Relationship Id="rId77" Type="http://schemas.openxmlformats.org/officeDocument/2006/relationships/image" Target="media/image58.jpeg"/><Relationship Id="rId76" Type="http://schemas.openxmlformats.org/officeDocument/2006/relationships/image" Target="media/image57.png"/><Relationship Id="rId75" Type="http://schemas.openxmlformats.org/officeDocument/2006/relationships/image" Target="media/image56.png"/><Relationship Id="rId74" Type="http://schemas.openxmlformats.org/officeDocument/2006/relationships/image" Target="media/image55.png"/><Relationship Id="rId73" Type="http://schemas.openxmlformats.org/officeDocument/2006/relationships/image" Target="media/image54.png"/><Relationship Id="rId72" Type="http://schemas.openxmlformats.org/officeDocument/2006/relationships/image" Target="media/image53.png"/><Relationship Id="rId71" Type="http://schemas.openxmlformats.org/officeDocument/2006/relationships/image" Target="media/image52.png"/><Relationship Id="rId70" Type="http://schemas.openxmlformats.org/officeDocument/2006/relationships/image" Target="media/image51.png"/><Relationship Id="rId7" Type="http://schemas.openxmlformats.org/officeDocument/2006/relationships/header" Target="header3.xml"/><Relationship Id="rId69" Type="http://schemas.openxmlformats.org/officeDocument/2006/relationships/image" Target="media/image50.png"/><Relationship Id="rId68" Type="http://schemas.openxmlformats.org/officeDocument/2006/relationships/image" Target="media/image49.png"/><Relationship Id="rId67" Type="http://schemas.openxmlformats.org/officeDocument/2006/relationships/image" Target="media/image48.png"/><Relationship Id="rId66" Type="http://schemas.openxmlformats.org/officeDocument/2006/relationships/image" Target="media/image47.png"/><Relationship Id="rId65" Type="http://schemas.openxmlformats.org/officeDocument/2006/relationships/image" Target="media/image46.png"/><Relationship Id="rId64" Type="http://schemas.openxmlformats.org/officeDocument/2006/relationships/image" Target="media/image45.png"/><Relationship Id="rId63" Type="http://schemas.openxmlformats.org/officeDocument/2006/relationships/image" Target="media/image44.png"/><Relationship Id="rId62" Type="http://schemas.openxmlformats.org/officeDocument/2006/relationships/image" Target="media/image43.png"/><Relationship Id="rId61" Type="http://schemas.openxmlformats.org/officeDocument/2006/relationships/image" Target="media/image42.emf"/><Relationship Id="rId60" Type="http://schemas.openxmlformats.org/officeDocument/2006/relationships/oleObject" Target="embeddings/oleObject8.bin"/><Relationship Id="rId6" Type="http://schemas.openxmlformats.org/officeDocument/2006/relationships/footer" Target="footer2.xml"/><Relationship Id="rId59" Type="http://schemas.openxmlformats.org/officeDocument/2006/relationships/image" Target="media/image41.wmf"/><Relationship Id="rId58" Type="http://schemas.openxmlformats.org/officeDocument/2006/relationships/oleObject" Target="embeddings/oleObject7.bin"/><Relationship Id="rId57" Type="http://schemas.openxmlformats.org/officeDocument/2006/relationships/image" Target="media/image40.wmf"/><Relationship Id="rId56" Type="http://schemas.openxmlformats.org/officeDocument/2006/relationships/oleObject" Target="embeddings/oleObject6.bin"/><Relationship Id="rId55" Type="http://schemas.openxmlformats.org/officeDocument/2006/relationships/image" Target="media/image39.wmf"/><Relationship Id="rId54" Type="http://schemas.openxmlformats.org/officeDocument/2006/relationships/oleObject" Target="embeddings/oleObject5.bin"/><Relationship Id="rId53" Type="http://schemas.openxmlformats.org/officeDocument/2006/relationships/image" Target="media/image38.wmf"/><Relationship Id="rId52" Type="http://schemas.openxmlformats.org/officeDocument/2006/relationships/oleObject" Target="embeddings/oleObject4.bin"/><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footer" Target="footer1.xml"/><Relationship Id="rId49" Type="http://schemas.openxmlformats.org/officeDocument/2006/relationships/image" Target="media/image35.wmf"/><Relationship Id="rId48" Type="http://schemas.openxmlformats.org/officeDocument/2006/relationships/oleObject" Target="embeddings/oleObject3.bin"/><Relationship Id="rId47" Type="http://schemas.openxmlformats.org/officeDocument/2006/relationships/image" Target="media/image34.wmf"/><Relationship Id="rId46" Type="http://schemas.openxmlformats.org/officeDocument/2006/relationships/oleObject" Target="embeddings/oleObject2.bin"/><Relationship Id="rId45" Type="http://schemas.openxmlformats.org/officeDocument/2006/relationships/image" Target="media/image33.wmf"/><Relationship Id="rId44" Type="http://schemas.openxmlformats.org/officeDocument/2006/relationships/oleObject" Target="embeddings/oleObject1.bin"/><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emf"/><Relationship Id="rId13" Type="http://schemas.openxmlformats.org/officeDocument/2006/relationships/image" Target="media/image2.png"/><Relationship Id="rId12" Type="http://schemas.openxmlformats.org/officeDocument/2006/relationships/image" Target="media/image1.emf"/><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CNIS</Company>
  <Pages>24</Pages>
  <Words>13270</Words>
  <Characters>15303</Characters>
  <Lines>125</Lines>
  <Paragraphs>35</Paragraphs>
  <TotalTime>228</TotalTime>
  <ScaleCrop>false</ScaleCrop>
  <LinksUpToDate>false</LinksUpToDate>
  <CharactersWithSpaces>15829</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2017-10-17T06:14:00Z</dcterms:created>
  <dc:creator>123</dc:creator>
  <cp:lastModifiedBy> 鬼浏几道</cp:lastModifiedBy>
  <cp:lastPrinted>2017-10-17T08:37:00Z</cp:lastPrinted>
  <dcterms:modified xsi:type="dcterms:W3CDTF">2024-10-10T06:13:25Z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DS属性">
    <vt:lpwstr>TDS 2.0 Document</vt:lpwstr>
  </property>
  <property fmtid="{D5CDD505-2E9C-101B-9397-08002B2CF9AE}" pid="3" name="KSOProductBuildVer">
    <vt:lpwstr>2052-12.1.0.18276</vt:lpwstr>
  </property>
  <property fmtid="{D5CDD505-2E9C-101B-9397-08002B2CF9AE}" pid="4" name="ICV">
    <vt:lpwstr>AF9A1F78C9044934BE05F086E83EA752_12</vt:lpwstr>
  </property>
</Properties>
</file>